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E5DE0A" w14:textId="77777777" w:rsidR="00105161" w:rsidRDefault="00DD4336" w:rsidP="007A5DA9">
      <w:pPr>
        <w:pStyle w:val="Heading1"/>
        <w:ind w:left="0"/>
      </w:pPr>
      <w:bookmarkStart w:id="0" w:name="_Toc225885507"/>
      <w:bookmarkStart w:id="1" w:name="_Toc225886897"/>
      <w:bookmarkStart w:id="2" w:name="_Toc243061750"/>
      <w:bookmarkStart w:id="3" w:name="_Toc243923391"/>
      <w:r w:rsidRPr="00BB05DC">
        <w:t xml:space="preserve">Accessibility </w:t>
      </w:r>
      <w:r w:rsidR="00944BD9" w:rsidRPr="00BB05DC">
        <w:t xml:space="preserve">and Inclusion </w:t>
      </w:r>
      <w:r w:rsidRPr="00BB05DC">
        <w:t>Competencies</w:t>
      </w:r>
      <w:bookmarkEnd w:id="0"/>
      <w:bookmarkEnd w:id="1"/>
      <w:bookmarkEnd w:id="2"/>
      <w:bookmarkEnd w:id="3"/>
      <w:r w:rsidR="00105161">
        <w:t xml:space="preserve"> </w:t>
      </w:r>
    </w:p>
    <w:p w14:paraId="43E166FF" w14:textId="48F450D9" w:rsidR="00282072" w:rsidRDefault="00E909D5" w:rsidP="00673C01">
      <w:pPr>
        <w:pStyle w:val="Subtitle"/>
        <w:rPr>
          <w:rFonts w:cs="Arial"/>
          <w:color w:val="auto"/>
          <w:spacing w:val="0"/>
          <w:sz w:val="32"/>
          <w:szCs w:val="32"/>
        </w:rPr>
      </w:pPr>
      <w:r w:rsidRPr="000462ED">
        <w:rPr>
          <w:rFonts w:cs="Arial"/>
          <w:color w:val="auto"/>
          <w:spacing w:val="0"/>
          <w:sz w:val="32"/>
          <w:szCs w:val="32"/>
        </w:rPr>
        <w:t>A Culture</w:t>
      </w:r>
      <w:r w:rsidRPr="000462ED">
        <w:rPr>
          <w:rFonts w:cs="Arial"/>
          <w:color w:val="auto"/>
          <w:spacing w:val="0"/>
          <w:sz w:val="32"/>
          <w:szCs w:val="32"/>
        </w:rPr>
        <w:noBreakHyphen/>
        <w:t>Building Framework for Inclusive Workplaces</w:t>
      </w:r>
    </w:p>
    <w:p w14:paraId="05690174" w14:textId="51197A52" w:rsidR="0094063B" w:rsidRPr="0094063B" w:rsidRDefault="0094063B" w:rsidP="0094063B">
      <w:pPr>
        <w:rPr>
          <w:rFonts w:ascii="Arial" w:hAnsi="Arial" w:cs="Arial"/>
        </w:rPr>
      </w:pPr>
      <w:r w:rsidRPr="0094063B">
        <w:rPr>
          <w:rFonts w:ascii="Arial" w:hAnsi="Arial" w:cs="Arial"/>
        </w:rPr>
        <w:t>Ana Sofia Barrows · Steven Woo · Kathy Beitz · Michaela Knot</w:t>
      </w:r>
    </w:p>
    <w:p w14:paraId="6F4FB1B7" w14:textId="6656D387" w:rsidR="00DB356E" w:rsidRDefault="00F36AB7" w:rsidP="008C1F8A">
      <w:pPr>
        <w:ind w:left="-929" w:hanging="63"/>
        <w:rPr>
          <w:rFonts w:ascii="Stag Sans Book" w:hAnsi="Stag Sans Book"/>
          <w:sz w:val="28"/>
          <w:szCs w:val="28"/>
        </w:rPr>
      </w:pPr>
      <w:r>
        <w:rPr>
          <w:rFonts w:ascii="Stag Sans Book" w:hAnsi="Stag Sans Book"/>
          <w:noProof/>
          <w:sz w:val="28"/>
          <w:szCs w:val="28"/>
        </w:rPr>
        <w:drawing>
          <wp:inline distT="0" distB="0" distL="0" distR="0" wp14:anchorId="021A0E01" wp14:editId="55CE4229">
            <wp:extent cx="7762240" cy="6463864"/>
            <wp:effectExtent l="0" t="0" r="0" b="0"/>
            <wp:docPr id="3" name="Picture 3" descr="Yellow Brush Stroke.">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Yellow Brush Stroke.">
                      <a:extLst>
                        <a:ext uri="{C183D7F6-B498-43B3-948B-1728B52AA6E4}">
                          <adec:decorative xmlns:adec="http://schemas.microsoft.com/office/drawing/2017/decorative" val="0"/>
                        </a:ext>
                      </a:extLst>
                    </pic:cNvPr>
                    <pic:cNvPicPr/>
                  </pic:nvPicPr>
                  <pic:blipFill>
                    <a:blip r:embed="rId11">
                      <a:extLst>
                        <a:ext uri="{28A0092B-C50C-407E-A947-70E740481C1C}">
                          <a14:useLocalDpi xmlns:a14="http://schemas.microsoft.com/office/drawing/2010/main" val="0"/>
                        </a:ext>
                      </a:extLst>
                    </a:blip>
                    <a:stretch>
                      <a:fillRect/>
                    </a:stretch>
                  </pic:blipFill>
                  <pic:spPr>
                    <a:xfrm>
                      <a:off x="0" y="0"/>
                      <a:ext cx="7770349" cy="6470616"/>
                    </a:xfrm>
                    <a:prstGeom prst="rect">
                      <a:avLst/>
                    </a:prstGeom>
                  </pic:spPr>
                </pic:pic>
              </a:graphicData>
            </a:graphic>
          </wp:inline>
        </w:drawing>
      </w:r>
      <w:r w:rsidR="002C445F" w:rsidRPr="002C445F">
        <w:t xml:space="preserve"> </w:t>
      </w:r>
    </w:p>
    <w:p w14:paraId="4358CC6D" w14:textId="5CD829D0" w:rsidR="00831B0A" w:rsidRPr="00983965" w:rsidRDefault="00831B0A" w:rsidP="006D3BC0">
      <w:pPr>
        <w:ind w:left="-567" w:hanging="567"/>
        <w:rPr>
          <w:rFonts w:ascii="Stag Sans Book" w:hAnsi="Stag Sans Book"/>
          <w:sz w:val="28"/>
          <w:szCs w:val="28"/>
        </w:rPr>
      </w:pPr>
    </w:p>
    <w:p w14:paraId="7AD0EEF7" w14:textId="537C3C6E" w:rsidR="00F718B6" w:rsidRPr="00C81E13" w:rsidRDefault="00FC368E" w:rsidP="00C81E13">
      <w:pPr>
        <w:jc w:val="right"/>
        <w:rPr>
          <w:b/>
        </w:rPr>
        <w:sectPr w:rsidR="00F718B6" w:rsidRPr="00C81E13" w:rsidSect="002C445F">
          <w:headerReference w:type="even" r:id="rId12"/>
          <w:headerReference w:type="default" r:id="rId13"/>
          <w:footerReference w:type="even" r:id="rId14"/>
          <w:footerReference w:type="default" r:id="rId15"/>
          <w:headerReference w:type="first" r:id="rId16"/>
          <w:footerReference w:type="first" r:id="rId17"/>
          <w:type w:val="continuous"/>
          <w:pgSz w:w="12240" w:h="15840"/>
          <w:pgMar w:top="990" w:right="720" w:bottom="360" w:left="992" w:header="709" w:footer="317" w:gutter="0"/>
          <w:cols w:space="708"/>
          <w:titlePg/>
          <w:docGrid w:linePitch="360"/>
        </w:sectPr>
      </w:pPr>
      <w:r>
        <w:rPr>
          <w:noProof/>
        </w:rPr>
        <w:drawing>
          <wp:anchor distT="0" distB="0" distL="114300" distR="114300" simplePos="0" relativeHeight="251658240" behindDoc="0" locked="0" layoutInCell="1" allowOverlap="1" wp14:anchorId="4C782409" wp14:editId="4285F3A5">
            <wp:simplePos x="0" y="0"/>
            <wp:positionH relativeFrom="column">
              <wp:posOffset>-444532</wp:posOffset>
            </wp:positionH>
            <wp:positionV relativeFrom="paragraph">
              <wp:posOffset>103727</wp:posOffset>
            </wp:positionV>
            <wp:extent cx="3157919" cy="525971"/>
            <wp:effectExtent l="0" t="0" r="4445" b="7620"/>
            <wp:wrapSquare wrapText="bothSides"/>
            <wp:docPr id="252683156" name="Picture 7" descr="Funded by the Government of Canad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683156" name="Picture 7" descr="Funded by the Government of Canada logo"/>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157919" cy="525971"/>
                    </a:xfrm>
                    <a:prstGeom prst="rect">
                      <a:avLst/>
                    </a:prstGeom>
                    <a:noFill/>
                    <a:ln>
                      <a:noFill/>
                    </a:ln>
                  </pic:spPr>
                </pic:pic>
              </a:graphicData>
            </a:graphic>
            <wp14:sizeRelH relativeFrom="page">
              <wp14:pctWidth>0</wp14:pctWidth>
            </wp14:sizeRelH>
            <wp14:sizeRelV relativeFrom="page">
              <wp14:pctHeight>0</wp14:pctHeight>
            </wp14:sizeRelV>
          </wp:anchor>
        </w:drawing>
      </w:r>
      <w:r w:rsidR="00364C1A">
        <w:rPr>
          <w:noProof/>
        </w:rPr>
        <w:t xml:space="preserve">                   </w:t>
      </w:r>
      <w:r w:rsidR="00C81E13">
        <w:rPr>
          <w:noProof/>
        </w:rPr>
        <w:t xml:space="preserve">                          </w:t>
      </w:r>
      <w:r w:rsidR="00364C1A">
        <w:rPr>
          <w:noProof/>
        </w:rPr>
        <w:t xml:space="preserve">                </w:t>
      </w:r>
      <w:r w:rsidR="00C81E13">
        <w:rPr>
          <w:b/>
          <w:noProof/>
        </w:rPr>
        <w:drawing>
          <wp:inline distT="0" distB="0" distL="0" distR="0" wp14:anchorId="50D8D47F" wp14:editId="255C6BC5">
            <wp:extent cx="1219200" cy="639430"/>
            <wp:effectExtent l="0" t="0" r="0" b="8890"/>
            <wp:docPr id="9" name="Picture 9" descr="CNIB Found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CNIB Foundation logo"/>
                    <pic:cNvPicPr/>
                  </pic:nvPicPr>
                  <pic:blipFill>
                    <a:blip r:embed="rId19">
                      <a:extLst>
                        <a:ext uri="{28A0092B-C50C-407E-A947-70E740481C1C}">
                          <a14:useLocalDpi xmlns:a14="http://schemas.microsoft.com/office/drawing/2010/main" val="0"/>
                        </a:ext>
                      </a:extLst>
                    </a:blip>
                    <a:stretch>
                      <a:fillRect/>
                    </a:stretch>
                  </pic:blipFill>
                  <pic:spPr>
                    <a:xfrm>
                      <a:off x="0" y="0"/>
                      <a:ext cx="1272803" cy="667543"/>
                    </a:xfrm>
                    <a:prstGeom prst="rect">
                      <a:avLst/>
                    </a:prstGeom>
                  </pic:spPr>
                </pic:pic>
              </a:graphicData>
            </a:graphic>
          </wp:inline>
        </w:drawing>
      </w:r>
      <w:r w:rsidR="00364C1A">
        <w:rPr>
          <w:noProof/>
        </w:rPr>
        <w:t xml:space="preserve">      </w:t>
      </w:r>
    </w:p>
    <w:p w14:paraId="1AC5677C" w14:textId="58FD55C5" w:rsidR="00FC368E" w:rsidRPr="00FC368E" w:rsidRDefault="00FC368E" w:rsidP="00F30AAB">
      <w:pPr>
        <w:spacing w:before="240" w:after="240" w:line="360" w:lineRule="auto"/>
        <w:rPr>
          <w:rFonts w:ascii="Arial" w:eastAsia="Calibri" w:hAnsi="Arial" w:cs="Arial"/>
          <w:spacing w:val="-5"/>
          <w:sz w:val="28"/>
          <w:szCs w:val="28"/>
        </w:rPr>
      </w:pPr>
      <w:r w:rsidRPr="00FC368E">
        <w:rPr>
          <w:rFonts w:ascii="Arial" w:eastAsia="Calibri" w:hAnsi="Arial" w:cs="Arial"/>
          <w:spacing w:val="-5"/>
          <w:sz w:val="28"/>
          <w:szCs w:val="28"/>
        </w:rPr>
        <w:lastRenderedPageBreak/>
        <w:t>This project was made possible through support from Accessibility Standards Canada (ASC) and the Government of Canada. The opinions, interpretations, and conclusions expressed in this report are those of the authors and do not necessarily reflect the views of Accessibility Standards Canada or the Government of Canada.</w:t>
      </w:r>
    </w:p>
    <w:p w14:paraId="12E4A2B4" w14:textId="1694D422" w:rsidR="00260882" w:rsidRPr="002D7030" w:rsidRDefault="002D7030" w:rsidP="002D7030">
      <w:pPr>
        <w:spacing w:before="240" w:after="240" w:line="300" w:lineRule="auto"/>
        <w:rPr>
          <w:rFonts w:ascii="Arial" w:eastAsia="Calibri" w:hAnsi="Arial" w:cs="Arial"/>
          <w:spacing w:val="-5"/>
          <w:sz w:val="28"/>
          <w:szCs w:val="28"/>
        </w:rPr>
      </w:pPr>
      <w:r w:rsidRPr="002D7030">
        <w:rPr>
          <w:rFonts w:ascii="Arial" w:eastAsia="Calibri" w:hAnsi="Arial" w:cs="Arial"/>
          <w:spacing w:val="-5"/>
          <w:sz w:val="28"/>
          <w:szCs w:val="28"/>
        </w:rPr>
        <w:t xml:space="preserve">Artificial Intelligence via Copilot </w:t>
      </w:r>
      <w:r w:rsidR="00FC368E">
        <w:rPr>
          <w:rFonts w:ascii="Arial" w:eastAsia="Calibri" w:hAnsi="Arial" w:cs="Arial"/>
          <w:spacing w:val="-5"/>
          <w:sz w:val="28"/>
          <w:szCs w:val="28"/>
        </w:rPr>
        <w:t xml:space="preserve">and ChatGPT </w:t>
      </w:r>
      <w:r w:rsidRPr="002D7030">
        <w:rPr>
          <w:rFonts w:ascii="Arial" w:eastAsia="Calibri" w:hAnsi="Arial" w:cs="Arial"/>
          <w:spacing w:val="-5"/>
          <w:sz w:val="28"/>
          <w:szCs w:val="28"/>
        </w:rPr>
        <w:t xml:space="preserve">was used for abbreviation searches, </w:t>
      </w:r>
      <w:r w:rsidR="002021AE">
        <w:rPr>
          <w:rFonts w:ascii="Arial" w:eastAsia="Calibri" w:hAnsi="Arial" w:cs="Arial"/>
          <w:spacing w:val="-5"/>
          <w:sz w:val="28"/>
          <w:szCs w:val="28"/>
        </w:rPr>
        <w:t xml:space="preserve">definitions, </w:t>
      </w:r>
      <w:r w:rsidRPr="002D7030">
        <w:rPr>
          <w:rFonts w:ascii="Arial" w:eastAsia="Calibri" w:hAnsi="Arial" w:cs="Arial"/>
          <w:spacing w:val="-5"/>
          <w:sz w:val="28"/>
          <w:szCs w:val="28"/>
        </w:rPr>
        <w:t>editing, and generating</w:t>
      </w:r>
      <w:r w:rsidR="00260882">
        <w:rPr>
          <w:rFonts w:ascii="Arial" w:eastAsia="Calibri" w:hAnsi="Arial" w:cs="Arial"/>
          <w:spacing w:val="-5"/>
          <w:sz w:val="28"/>
          <w:szCs w:val="28"/>
        </w:rPr>
        <w:t xml:space="preserve"> the</w:t>
      </w:r>
      <w:r w:rsidRPr="002D7030">
        <w:rPr>
          <w:rFonts w:ascii="Arial" w:eastAsia="Calibri" w:hAnsi="Arial" w:cs="Arial"/>
          <w:spacing w:val="-5"/>
          <w:sz w:val="28"/>
          <w:szCs w:val="28"/>
        </w:rPr>
        <w:t xml:space="preserve"> Appendix.</w:t>
      </w:r>
    </w:p>
    <w:p w14:paraId="71820620" w14:textId="4862A4C5" w:rsidR="002D7030" w:rsidRDefault="002D7030" w:rsidP="002D7030">
      <w:pPr>
        <w:spacing w:before="240" w:after="240" w:line="300" w:lineRule="auto"/>
        <w:rPr>
          <w:rFonts w:ascii="Arial" w:eastAsia="Calibri" w:hAnsi="Arial" w:cs="Arial"/>
          <w:spacing w:val="-5"/>
          <w:sz w:val="28"/>
          <w:szCs w:val="28"/>
        </w:rPr>
      </w:pPr>
      <w:r w:rsidRPr="002D7030">
        <w:rPr>
          <w:rFonts w:ascii="Arial" w:eastAsia="Calibri" w:hAnsi="Arial" w:cs="Arial"/>
          <w:b/>
          <w:bCs/>
          <w:spacing w:val="-5"/>
          <w:sz w:val="28"/>
          <w:szCs w:val="28"/>
        </w:rPr>
        <w:t>How to cite:</w:t>
      </w:r>
      <w:r w:rsidRPr="002D7030">
        <w:rPr>
          <w:rFonts w:ascii="Arial" w:eastAsia="Calibri" w:hAnsi="Arial" w:cs="Arial"/>
          <w:spacing w:val="-5"/>
          <w:sz w:val="28"/>
          <w:szCs w:val="28"/>
        </w:rPr>
        <w:t xml:space="preserve"> CNIB. 2026. </w:t>
      </w:r>
      <w:r w:rsidR="00260882" w:rsidRPr="00260882">
        <w:rPr>
          <w:rFonts w:ascii="Arial" w:eastAsia="Calibri" w:hAnsi="Arial" w:cs="Arial"/>
          <w:spacing w:val="-5"/>
          <w:sz w:val="28"/>
          <w:szCs w:val="28"/>
        </w:rPr>
        <w:t>Accessibility and Inclusion Competencies</w:t>
      </w:r>
      <w:r w:rsidR="00260882">
        <w:rPr>
          <w:rFonts w:ascii="Arial" w:eastAsia="Calibri" w:hAnsi="Arial" w:cs="Arial"/>
          <w:spacing w:val="-5"/>
          <w:sz w:val="28"/>
          <w:szCs w:val="28"/>
        </w:rPr>
        <w:t xml:space="preserve">: </w:t>
      </w:r>
      <w:r w:rsidR="00260882" w:rsidRPr="00260882">
        <w:rPr>
          <w:rFonts w:ascii="Arial" w:eastAsia="Calibri" w:hAnsi="Arial" w:cs="Arial"/>
          <w:spacing w:val="-5"/>
          <w:sz w:val="28"/>
          <w:szCs w:val="28"/>
        </w:rPr>
        <w:t>A Culture Building Framework for Inclusive Workplaces</w:t>
      </w:r>
      <w:r w:rsidRPr="002D7030">
        <w:rPr>
          <w:rFonts w:ascii="Arial" w:eastAsia="Calibri" w:hAnsi="Arial" w:cs="Arial"/>
          <w:spacing w:val="-5"/>
          <w:sz w:val="28"/>
          <w:szCs w:val="28"/>
        </w:rPr>
        <w:t>. Canadian National Institute for the Blind (CNIB). Canada.  URL: cnib.ca</w:t>
      </w:r>
    </w:p>
    <w:p w14:paraId="15D590A9" w14:textId="77777777" w:rsidR="00E64FCA" w:rsidRDefault="00E64FCA" w:rsidP="00E64FCA">
      <w:pPr>
        <w:rPr>
          <w:rFonts w:ascii="Arial" w:hAnsi="Arial" w:cs="Arial"/>
          <w:b/>
          <w:sz w:val="28"/>
          <w:szCs w:val="28"/>
        </w:rPr>
      </w:pPr>
    </w:p>
    <w:p w14:paraId="5D33D6EF" w14:textId="77777777" w:rsidR="00E64FCA" w:rsidRDefault="00E64FCA" w:rsidP="00E64FCA">
      <w:pPr>
        <w:rPr>
          <w:rFonts w:ascii="Arial" w:hAnsi="Arial" w:cs="Arial"/>
          <w:b/>
          <w:sz w:val="28"/>
          <w:szCs w:val="28"/>
        </w:rPr>
      </w:pPr>
    </w:p>
    <w:p w14:paraId="51063BD6" w14:textId="77777777" w:rsidR="00E64FCA" w:rsidRDefault="00E64FCA" w:rsidP="00E64FCA">
      <w:pPr>
        <w:rPr>
          <w:rFonts w:ascii="Arial" w:hAnsi="Arial" w:cs="Arial"/>
          <w:b/>
          <w:sz w:val="28"/>
          <w:szCs w:val="28"/>
        </w:rPr>
      </w:pPr>
    </w:p>
    <w:p w14:paraId="63406BFE" w14:textId="078E9F21" w:rsidR="003738F1" w:rsidRPr="00E64FCA" w:rsidRDefault="000462ED" w:rsidP="00E64FCA">
      <w:pPr>
        <w:rPr>
          <w:rFonts w:ascii="Arial" w:hAnsi="Arial" w:cs="Arial"/>
          <w:b/>
          <w:sz w:val="28"/>
          <w:szCs w:val="28"/>
        </w:rPr>
      </w:pPr>
      <w:r>
        <w:rPr>
          <w:noProof/>
        </w:rPr>
        <w:drawing>
          <wp:anchor distT="0" distB="0" distL="114300" distR="114300" simplePos="0" relativeHeight="251661312" behindDoc="0" locked="0" layoutInCell="1" allowOverlap="1" wp14:anchorId="57C5B765" wp14:editId="14F89E11">
            <wp:simplePos x="629216" y="4227968"/>
            <wp:positionH relativeFrom="margin">
              <wp:align>center</wp:align>
            </wp:positionH>
            <wp:positionV relativeFrom="paragraph">
              <wp:align>center</wp:align>
            </wp:positionV>
            <wp:extent cx="2775585" cy="482600"/>
            <wp:effectExtent l="0" t="0" r="5715" b="0"/>
            <wp:wrapNone/>
            <wp:docPr id="1997299709" name="Picture 2" descr="Accessibility Standards Canad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7299709" name="Picture 2" descr="Accessibility Standards Canada logo"/>
                    <pic:cNvPicPr/>
                  </pic:nvPicPr>
                  <pic:blipFill>
                    <a:blip r:embed="rId20">
                      <a:extLst>
                        <a:ext uri="{28A0092B-C50C-407E-A947-70E740481C1C}">
                          <a14:useLocalDpi xmlns:a14="http://schemas.microsoft.com/office/drawing/2010/main" val="0"/>
                        </a:ext>
                      </a:extLst>
                    </a:blip>
                    <a:stretch>
                      <a:fillRect/>
                    </a:stretch>
                  </pic:blipFill>
                  <pic:spPr>
                    <a:xfrm>
                      <a:off x="0" y="0"/>
                      <a:ext cx="2775585" cy="482600"/>
                    </a:xfrm>
                    <a:prstGeom prst="rect">
                      <a:avLst/>
                    </a:prstGeom>
                  </pic:spPr>
                </pic:pic>
              </a:graphicData>
            </a:graphic>
          </wp:anchor>
        </w:drawing>
      </w:r>
    </w:p>
    <w:p w14:paraId="606B8657" w14:textId="77777777" w:rsidR="003738F1" w:rsidRDefault="003738F1" w:rsidP="005D19B0">
      <w:pPr>
        <w:rPr>
          <w:noProof/>
        </w:rPr>
      </w:pPr>
    </w:p>
    <w:p w14:paraId="5BD0D13D" w14:textId="78BB1B41" w:rsidR="003738F1" w:rsidRDefault="003738F1" w:rsidP="005D19B0">
      <w:pPr>
        <w:rPr>
          <w:noProof/>
        </w:rPr>
      </w:pPr>
    </w:p>
    <w:p w14:paraId="69970749" w14:textId="3D118147" w:rsidR="003738F1" w:rsidRDefault="001967E9" w:rsidP="005D19B0">
      <w:pPr>
        <w:rPr>
          <w:noProof/>
        </w:rPr>
      </w:pPr>
      <w:r>
        <w:rPr>
          <w:noProof/>
        </w:rPr>
        <w:drawing>
          <wp:anchor distT="0" distB="0" distL="114300" distR="114300" simplePos="0" relativeHeight="251660288" behindDoc="0" locked="0" layoutInCell="1" allowOverlap="1" wp14:anchorId="4B33AAA1" wp14:editId="40CAAEAB">
            <wp:simplePos x="0" y="0"/>
            <wp:positionH relativeFrom="margin">
              <wp:posOffset>1904365</wp:posOffset>
            </wp:positionH>
            <wp:positionV relativeFrom="margin">
              <wp:posOffset>4475137</wp:posOffset>
            </wp:positionV>
            <wp:extent cx="2870835" cy="478155"/>
            <wp:effectExtent l="0" t="0" r="5715" b="0"/>
            <wp:wrapSquare wrapText="bothSides"/>
            <wp:docPr id="795257789" name="Picture 7" descr="Funded by the Government of Canad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5257789" name="Picture 7" descr="Funded by the Government of Canada logo"/>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870835" cy="4781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F06D33B" w14:textId="77777777" w:rsidR="003738F1" w:rsidRDefault="003738F1" w:rsidP="005D19B0">
      <w:pPr>
        <w:rPr>
          <w:noProof/>
        </w:rPr>
      </w:pPr>
    </w:p>
    <w:p w14:paraId="77E0C678" w14:textId="77777777" w:rsidR="003738F1" w:rsidRDefault="003738F1" w:rsidP="005D19B0">
      <w:pPr>
        <w:rPr>
          <w:noProof/>
        </w:rPr>
      </w:pPr>
    </w:p>
    <w:p w14:paraId="45EE5E0F" w14:textId="77777777" w:rsidR="003738F1" w:rsidRDefault="003738F1" w:rsidP="005D19B0">
      <w:pPr>
        <w:rPr>
          <w:noProof/>
        </w:rPr>
      </w:pPr>
    </w:p>
    <w:p w14:paraId="332B27CE" w14:textId="77777777" w:rsidR="003738F1" w:rsidRDefault="003738F1" w:rsidP="005D19B0">
      <w:pPr>
        <w:rPr>
          <w:noProof/>
        </w:rPr>
      </w:pPr>
    </w:p>
    <w:p w14:paraId="16183B42" w14:textId="3866658B" w:rsidR="003738F1" w:rsidRDefault="003738F1" w:rsidP="005D19B0">
      <w:pPr>
        <w:rPr>
          <w:rFonts w:ascii="Arial" w:hAnsi="Arial" w:cs="Arial"/>
          <w:b/>
          <w:sz w:val="28"/>
          <w:szCs w:val="28"/>
        </w:rPr>
      </w:pPr>
    </w:p>
    <w:p w14:paraId="529785A4" w14:textId="51C32EAC" w:rsidR="001967E9" w:rsidRPr="001967E9" w:rsidRDefault="001967E9" w:rsidP="001967E9">
      <w:pPr>
        <w:jc w:val="center"/>
        <w:rPr>
          <w:rFonts w:ascii="Arial" w:hAnsi="Arial" w:cs="Arial"/>
          <w:b/>
          <w:sz w:val="28"/>
          <w:szCs w:val="28"/>
        </w:rPr>
      </w:pPr>
      <w:r>
        <w:rPr>
          <w:rFonts w:ascii="Arial" w:eastAsia="Calibri" w:hAnsi="Arial" w:cs="Arial"/>
          <w:spacing w:val="-5"/>
          <w:sz w:val="28"/>
          <w:szCs w:val="28"/>
        </w:rPr>
        <w:t>May 2026</w:t>
      </w:r>
    </w:p>
    <w:p w14:paraId="704F14D7" w14:textId="77777777" w:rsidR="00700C7B" w:rsidRDefault="00700C7B" w:rsidP="005D19B0">
      <w:pPr>
        <w:rPr>
          <w:rFonts w:ascii="Arial" w:hAnsi="Arial" w:cs="Arial"/>
          <w:b/>
          <w:sz w:val="28"/>
          <w:szCs w:val="28"/>
        </w:rPr>
        <w:sectPr w:rsidR="00700C7B" w:rsidSect="00F718B6">
          <w:pgSz w:w="12240" w:h="15840"/>
          <w:pgMar w:top="990" w:right="720" w:bottom="360" w:left="992" w:header="709" w:footer="317" w:gutter="0"/>
          <w:cols w:space="708"/>
          <w:docGrid w:linePitch="360"/>
        </w:sectPr>
      </w:pPr>
    </w:p>
    <w:p w14:paraId="355E76E0" w14:textId="56F9BED0" w:rsidR="009D0594" w:rsidRDefault="00A36615" w:rsidP="00BB05DC">
      <w:pPr>
        <w:pStyle w:val="Heading2"/>
      </w:pPr>
      <w:bookmarkStart w:id="4" w:name="_Toc225885508"/>
      <w:bookmarkStart w:id="5" w:name="_Toc225886898"/>
      <w:bookmarkStart w:id="6" w:name="_Toc243061751"/>
      <w:bookmarkStart w:id="7" w:name="_Toc243923392"/>
      <w:r>
        <w:lastRenderedPageBreak/>
        <w:t xml:space="preserve">Table of </w:t>
      </w:r>
      <w:r w:rsidR="00743059">
        <w:t>C</w:t>
      </w:r>
      <w:r>
        <w:t>ontent</w:t>
      </w:r>
      <w:r w:rsidR="00BB05DC">
        <w:t>s</w:t>
      </w:r>
      <w:bookmarkEnd w:id="4"/>
      <w:bookmarkEnd w:id="5"/>
      <w:bookmarkEnd w:id="6"/>
      <w:bookmarkEnd w:id="7"/>
    </w:p>
    <w:sdt>
      <w:sdtPr>
        <w:rPr>
          <w:rFonts w:ascii="Arial" w:eastAsiaTheme="minorHAnsi" w:hAnsi="Arial" w:cs="Arial"/>
          <w:color w:val="auto"/>
          <w:sz w:val="28"/>
          <w:szCs w:val="28"/>
        </w:rPr>
        <w:id w:val="-993716033"/>
        <w:docPartObj>
          <w:docPartGallery w:val="Table of Contents"/>
          <w:docPartUnique/>
        </w:docPartObj>
      </w:sdtPr>
      <w:sdtEndPr>
        <w:rPr>
          <w:b/>
          <w:bCs/>
          <w:noProof/>
        </w:rPr>
      </w:sdtEndPr>
      <w:sdtContent>
        <w:p w14:paraId="3BA0C96B" w14:textId="56BFF2E7" w:rsidR="0063418B" w:rsidRPr="00E406BE" w:rsidRDefault="0063418B">
          <w:pPr>
            <w:pStyle w:val="TOCHeading"/>
            <w:rPr>
              <w:rFonts w:ascii="Arial" w:hAnsi="Arial" w:cs="Arial"/>
              <w:sz w:val="28"/>
              <w:szCs w:val="28"/>
            </w:rPr>
          </w:pPr>
        </w:p>
        <w:p w14:paraId="09CBED88" w14:textId="3B0B1D57" w:rsidR="00E406BE" w:rsidRPr="00E406BE" w:rsidRDefault="0063418B" w:rsidP="00E406BE">
          <w:pPr>
            <w:pStyle w:val="TOC1"/>
            <w:tabs>
              <w:tab w:val="right" w:leader="dot" w:pos="9350"/>
            </w:tabs>
            <w:rPr>
              <w:rFonts w:ascii="Arial" w:eastAsiaTheme="minorEastAsia" w:hAnsi="Arial" w:cs="Arial"/>
              <w:noProof/>
              <w:kern w:val="2"/>
              <w:sz w:val="28"/>
              <w:szCs w:val="28"/>
              <w14:ligatures w14:val="standardContextual"/>
            </w:rPr>
          </w:pPr>
          <w:r w:rsidRPr="00E406BE">
            <w:rPr>
              <w:rFonts w:ascii="Arial" w:hAnsi="Arial" w:cs="Arial"/>
              <w:sz w:val="28"/>
              <w:szCs w:val="28"/>
            </w:rPr>
            <w:fldChar w:fldCharType="begin"/>
          </w:r>
          <w:r w:rsidRPr="00E406BE">
            <w:rPr>
              <w:rFonts w:ascii="Arial" w:hAnsi="Arial" w:cs="Arial"/>
              <w:sz w:val="28"/>
              <w:szCs w:val="28"/>
            </w:rPr>
            <w:instrText xml:space="preserve"> TOC \o "1-3" \h \z \u </w:instrText>
          </w:r>
          <w:r w:rsidRPr="00E406BE">
            <w:rPr>
              <w:rFonts w:ascii="Arial" w:hAnsi="Arial" w:cs="Arial"/>
              <w:sz w:val="28"/>
              <w:szCs w:val="28"/>
            </w:rPr>
            <w:fldChar w:fldCharType="separate"/>
          </w:r>
          <w:hyperlink w:anchor="_Toc243923393" w:history="1">
            <w:r w:rsidR="00E406BE" w:rsidRPr="00E406BE">
              <w:rPr>
                <w:rStyle w:val="Hyperlink"/>
                <w:rFonts w:ascii="Arial" w:hAnsi="Arial" w:cs="Arial"/>
                <w:noProof/>
                <w:sz w:val="28"/>
                <w:szCs w:val="28"/>
              </w:rPr>
              <w:t>Acknowledgements</w:t>
            </w:r>
            <w:r w:rsidR="00E406BE" w:rsidRPr="00E406BE">
              <w:rPr>
                <w:rFonts w:ascii="Arial" w:hAnsi="Arial" w:cs="Arial"/>
                <w:noProof/>
                <w:webHidden/>
                <w:sz w:val="28"/>
                <w:szCs w:val="28"/>
              </w:rPr>
              <w:tab/>
            </w:r>
            <w:r w:rsidR="00E406BE" w:rsidRPr="00E406BE">
              <w:rPr>
                <w:rFonts w:ascii="Arial" w:hAnsi="Arial" w:cs="Arial"/>
                <w:noProof/>
                <w:webHidden/>
                <w:sz w:val="28"/>
                <w:szCs w:val="28"/>
              </w:rPr>
              <w:fldChar w:fldCharType="begin"/>
            </w:r>
            <w:r w:rsidR="00E406BE" w:rsidRPr="00E406BE">
              <w:rPr>
                <w:rFonts w:ascii="Arial" w:hAnsi="Arial" w:cs="Arial"/>
                <w:noProof/>
                <w:webHidden/>
                <w:sz w:val="28"/>
                <w:szCs w:val="28"/>
              </w:rPr>
              <w:instrText xml:space="preserve"> PAGEREF _Toc243923393 \h </w:instrText>
            </w:r>
            <w:r w:rsidR="00E406BE" w:rsidRPr="00E406BE">
              <w:rPr>
                <w:rFonts w:ascii="Arial" w:hAnsi="Arial" w:cs="Arial"/>
                <w:noProof/>
                <w:webHidden/>
                <w:sz w:val="28"/>
                <w:szCs w:val="28"/>
              </w:rPr>
            </w:r>
            <w:r w:rsidR="00E406BE" w:rsidRPr="00E406BE">
              <w:rPr>
                <w:rFonts w:ascii="Arial" w:hAnsi="Arial" w:cs="Arial"/>
                <w:noProof/>
                <w:webHidden/>
                <w:sz w:val="28"/>
                <w:szCs w:val="28"/>
              </w:rPr>
              <w:fldChar w:fldCharType="separate"/>
            </w:r>
            <w:r w:rsidR="00E406BE" w:rsidRPr="00E406BE">
              <w:rPr>
                <w:rFonts w:ascii="Arial" w:hAnsi="Arial" w:cs="Arial"/>
                <w:noProof/>
                <w:webHidden/>
                <w:sz w:val="28"/>
                <w:szCs w:val="28"/>
              </w:rPr>
              <w:t>6</w:t>
            </w:r>
            <w:r w:rsidR="00E406BE" w:rsidRPr="00E406BE">
              <w:rPr>
                <w:rFonts w:ascii="Arial" w:hAnsi="Arial" w:cs="Arial"/>
                <w:noProof/>
                <w:webHidden/>
                <w:sz w:val="28"/>
                <w:szCs w:val="28"/>
              </w:rPr>
              <w:fldChar w:fldCharType="end"/>
            </w:r>
          </w:hyperlink>
        </w:p>
        <w:p w14:paraId="6F64208B" w14:textId="04902244" w:rsidR="00E406BE" w:rsidRPr="00E406BE" w:rsidRDefault="00E406BE">
          <w:pPr>
            <w:pStyle w:val="TOC2"/>
            <w:tabs>
              <w:tab w:val="right" w:leader="dot" w:pos="9350"/>
            </w:tabs>
            <w:rPr>
              <w:rFonts w:ascii="Arial" w:eastAsiaTheme="minorEastAsia" w:hAnsi="Arial" w:cs="Arial"/>
              <w:noProof/>
              <w:kern w:val="2"/>
              <w:sz w:val="28"/>
              <w:szCs w:val="28"/>
              <w14:ligatures w14:val="standardContextual"/>
            </w:rPr>
          </w:pPr>
          <w:hyperlink w:anchor="_Toc243923394" w:history="1">
            <w:r w:rsidRPr="00E406BE">
              <w:rPr>
                <w:rStyle w:val="Hyperlink"/>
                <w:rFonts w:ascii="Arial" w:hAnsi="Arial" w:cs="Arial"/>
                <w:noProof/>
                <w:sz w:val="28"/>
                <w:szCs w:val="28"/>
              </w:rPr>
              <w:t>List of Abbreviations</w:t>
            </w:r>
            <w:r w:rsidRPr="00E406BE">
              <w:rPr>
                <w:rFonts w:ascii="Arial" w:hAnsi="Arial" w:cs="Arial"/>
                <w:noProof/>
                <w:webHidden/>
                <w:sz w:val="28"/>
                <w:szCs w:val="28"/>
              </w:rPr>
              <w:tab/>
            </w:r>
            <w:r w:rsidRPr="00E406BE">
              <w:rPr>
                <w:rFonts w:ascii="Arial" w:hAnsi="Arial" w:cs="Arial"/>
                <w:noProof/>
                <w:webHidden/>
                <w:sz w:val="28"/>
                <w:szCs w:val="28"/>
              </w:rPr>
              <w:fldChar w:fldCharType="begin"/>
            </w:r>
            <w:r w:rsidRPr="00E406BE">
              <w:rPr>
                <w:rFonts w:ascii="Arial" w:hAnsi="Arial" w:cs="Arial"/>
                <w:noProof/>
                <w:webHidden/>
                <w:sz w:val="28"/>
                <w:szCs w:val="28"/>
              </w:rPr>
              <w:instrText xml:space="preserve"> PAGEREF _Toc243923394 \h </w:instrText>
            </w:r>
            <w:r w:rsidRPr="00E406BE">
              <w:rPr>
                <w:rFonts w:ascii="Arial" w:hAnsi="Arial" w:cs="Arial"/>
                <w:noProof/>
                <w:webHidden/>
                <w:sz w:val="28"/>
                <w:szCs w:val="28"/>
              </w:rPr>
            </w:r>
            <w:r w:rsidRPr="00E406BE">
              <w:rPr>
                <w:rFonts w:ascii="Arial" w:hAnsi="Arial" w:cs="Arial"/>
                <w:noProof/>
                <w:webHidden/>
                <w:sz w:val="28"/>
                <w:szCs w:val="28"/>
              </w:rPr>
              <w:fldChar w:fldCharType="separate"/>
            </w:r>
            <w:r w:rsidRPr="00E406BE">
              <w:rPr>
                <w:rFonts w:ascii="Arial" w:hAnsi="Arial" w:cs="Arial"/>
                <w:noProof/>
                <w:webHidden/>
                <w:sz w:val="28"/>
                <w:szCs w:val="28"/>
              </w:rPr>
              <w:t>10</w:t>
            </w:r>
            <w:r w:rsidRPr="00E406BE">
              <w:rPr>
                <w:rFonts w:ascii="Arial" w:hAnsi="Arial" w:cs="Arial"/>
                <w:noProof/>
                <w:webHidden/>
                <w:sz w:val="28"/>
                <w:szCs w:val="28"/>
              </w:rPr>
              <w:fldChar w:fldCharType="end"/>
            </w:r>
          </w:hyperlink>
        </w:p>
        <w:p w14:paraId="6F415FCA" w14:textId="36E860B5" w:rsidR="00E406BE" w:rsidRPr="00E406BE" w:rsidRDefault="00E406BE">
          <w:pPr>
            <w:pStyle w:val="TOC2"/>
            <w:tabs>
              <w:tab w:val="right" w:leader="dot" w:pos="9350"/>
            </w:tabs>
            <w:rPr>
              <w:rFonts w:ascii="Arial" w:eastAsiaTheme="minorEastAsia" w:hAnsi="Arial" w:cs="Arial"/>
              <w:noProof/>
              <w:kern w:val="2"/>
              <w:sz w:val="28"/>
              <w:szCs w:val="28"/>
              <w14:ligatures w14:val="standardContextual"/>
            </w:rPr>
          </w:pPr>
          <w:hyperlink w:anchor="_Toc243923395" w:history="1">
            <w:r w:rsidRPr="00E406BE">
              <w:rPr>
                <w:rStyle w:val="Hyperlink"/>
                <w:rFonts w:ascii="Arial" w:hAnsi="Arial" w:cs="Arial"/>
                <w:noProof/>
                <w:sz w:val="28"/>
                <w:szCs w:val="28"/>
              </w:rPr>
              <w:t>Definitions</w:t>
            </w:r>
            <w:r w:rsidRPr="00E406BE">
              <w:rPr>
                <w:rFonts w:ascii="Arial" w:hAnsi="Arial" w:cs="Arial"/>
                <w:noProof/>
                <w:webHidden/>
                <w:sz w:val="28"/>
                <w:szCs w:val="28"/>
              </w:rPr>
              <w:tab/>
            </w:r>
            <w:r w:rsidRPr="00E406BE">
              <w:rPr>
                <w:rFonts w:ascii="Arial" w:hAnsi="Arial" w:cs="Arial"/>
                <w:noProof/>
                <w:webHidden/>
                <w:sz w:val="28"/>
                <w:szCs w:val="28"/>
              </w:rPr>
              <w:fldChar w:fldCharType="begin"/>
            </w:r>
            <w:r w:rsidRPr="00E406BE">
              <w:rPr>
                <w:rFonts w:ascii="Arial" w:hAnsi="Arial" w:cs="Arial"/>
                <w:noProof/>
                <w:webHidden/>
                <w:sz w:val="28"/>
                <w:szCs w:val="28"/>
              </w:rPr>
              <w:instrText xml:space="preserve"> PAGEREF _Toc243923395 \h </w:instrText>
            </w:r>
            <w:r w:rsidRPr="00E406BE">
              <w:rPr>
                <w:rFonts w:ascii="Arial" w:hAnsi="Arial" w:cs="Arial"/>
                <w:noProof/>
                <w:webHidden/>
                <w:sz w:val="28"/>
                <w:szCs w:val="28"/>
              </w:rPr>
            </w:r>
            <w:r w:rsidRPr="00E406BE">
              <w:rPr>
                <w:rFonts w:ascii="Arial" w:hAnsi="Arial" w:cs="Arial"/>
                <w:noProof/>
                <w:webHidden/>
                <w:sz w:val="28"/>
                <w:szCs w:val="28"/>
              </w:rPr>
              <w:fldChar w:fldCharType="separate"/>
            </w:r>
            <w:r w:rsidRPr="00E406BE">
              <w:rPr>
                <w:rFonts w:ascii="Arial" w:hAnsi="Arial" w:cs="Arial"/>
                <w:noProof/>
                <w:webHidden/>
                <w:sz w:val="28"/>
                <w:szCs w:val="28"/>
              </w:rPr>
              <w:t>12</w:t>
            </w:r>
            <w:r w:rsidRPr="00E406BE">
              <w:rPr>
                <w:rFonts w:ascii="Arial" w:hAnsi="Arial" w:cs="Arial"/>
                <w:noProof/>
                <w:webHidden/>
                <w:sz w:val="28"/>
                <w:szCs w:val="28"/>
              </w:rPr>
              <w:fldChar w:fldCharType="end"/>
            </w:r>
          </w:hyperlink>
        </w:p>
        <w:p w14:paraId="3A04CCC8" w14:textId="32F26DE4" w:rsidR="00E406BE" w:rsidRPr="00E406BE" w:rsidRDefault="00E406BE">
          <w:pPr>
            <w:pStyle w:val="TOC2"/>
            <w:tabs>
              <w:tab w:val="right" w:leader="dot" w:pos="9350"/>
            </w:tabs>
            <w:rPr>
              <w:rFonts w:ascii="Arial" w:eastAsiaTheme="minorEastAsia" w:hAnsi="Arial" w:cs="Arial"/>
              <w:noProof/>
              <w:kern w:val="2"/>
              <w:sz w:val="28"/>
              <w:szCs w:val="28"/>
              <w14:ligatures w14:val="standardContextual"/>
            </w:rPr>
          </w:pPr>
          <w:hyperlink w:anchor="_Toc243923396" w:history="1">
            <w:r w:rsidRPr="00E406BE">
              <w:rPr>
                <w:rStyle w:val="Hyperlink"/>
                <w:rFonts w:ascii="Arial" w:hAnsi="Arial" w:cs="Arial"/>
                <w:noProof/>
                <w:sz w:val="28"/>
                <w:szCs w:val="28"/>
              </w:rPr>
              <w:t>Chapter 1. Executive summary</w:t>
            </w:r>
            <w:r w:rsidRPr="00E406BE">
              <w:rPr>
                <w:rFonts w:ascii="Arial" w:hAnsi="Arial" w:cs="Arial"/>
                <w:noProof/>
                <w:webHidden/>
                <w:sz w:val="28"/>
                <w:szCs w:val="28"/>
              </w:rPr>
              <w:tab/>
            </w:r>
            <w:r w:rsidRPr="00E406BE">
              <w:rPr>
                <w:rFonts w:ascii="Arial" w:hAnsi="Arial" w:cs="Arial"/>
                <w:noProof/>
                <w:webHidden/>
                <w:sz w:val="28"/>
                <w:szCs w:val="28"/>
              </w:rPr>
              <w:fldChar w:fldCharType="begin"/>
            </w:r>
            <w:r w:rsidRPr="00E406BE">
              <w:rPr>
                <w:rFonts w:ascii="Arial" w:hAnsi="Arial" w:cs="Arial"/>
                <w:noProof/>
                <w:webHidden/>
                <w:sz w:val="28"/>
                <w:szCs w:val="28"/>
              </w:rPr>
              <w:instrText xml:space="preserve"> PAGEREF _Toc243923396 \h </w:instrText>
            </w:r>
            <w:r w:rsidRPr="00E406BE">
              <w:rPr>
                <w:rFonts w:ascii="Arial" w:hAnsi="Arial" w:cs="Arial"/>
                <w:noProof/>
                <w:webHidden/>
                <w:sz w:val="28"/>
                <w:szCs w:val="28"/>
              </w:rPr>
            </w:r>
            <w:r w:rsidRPr="00E406BE">
              <w:rPr>
                <w:rFonts w:ascii="Arial" w:hAnsi="Arial" w:cs="Arial"/>
                <w:noProof/>
                <w:webHidden/>
                <w:sz w:val="28"/>
                <w:szCs w:val="28"/>
              </w:rPr>
              <w:fldChar w:fldCharType="separate"/>
            </w:r>
            <w:r w:rsidRPr="00E406BE">
              <w:rPr>
                <w:rFonts w:ascii="Arial" w:hAnsi="Arial" w:cs="Arial"/>
                <w:noProof/>
                <w:webHidden/>
                <w:sz w:val="28"/>
                <w:szCs w:val="28"/>
              </w:rPr>
              <w:t>20</w:t>
            </w:r>
            <w:r w:rsidRPr="00E406BE">
              <w:rPr>
                <w:rFonts w:ascii="Arial" w:hAnsi="Arial" w:cs="Arial"/>
                <w:noProof/>
                <w:webHidden/>
                <w:sz w:val="28"/>
                <w:szCs w:val="28"/>
              </w:rPr>
              <w:fldChar w:fldCharType="end"/>
            </w:r>
          </w:hyperlink>
        </w:p>
        <w:p w14:paraId="6530ECFF" w14:textId="43923B92" w:rsidR="00E406BE" w:rsidRPr="00E406BE" w:rsidRDefault="00E406BE">
          <w:pPr>
            <w:pStyle w:val="TOC3"/>
            <w:tabs>
              <w:tab w:val="right" w:leader="dot" w:pos="9350"/>
            </w:tabs>
            <w:rPr>
              <w:rFonts w:ascii="Arial" w:eastAsiaTheme="minorEastAsia" w:hAnsi="Arial" w:cs="Arial"/>
              <w:noProof/>
              <w:kern w:val="2"/>
              <w:sz w:val="28"/>
              <w:szCs w:val="28"/>
              <w14:ligatures w14:val="standardContextual"/>
            </w:rPr>
          </w:pPr>
          <w:hyperlink w:anchor="_Toc243923397" w:history="1">
            <w:r w:rsidRPr="00E406BE">
              <w:rPr>
                <w:rStyle w:val="Hyperlink"/>
                <w:rFonts w:ascii="Arial" w:hAnsi="Arial" w:cs="Arial"/>
                <w:noProof/>
                <w:sz w:val="28"/>
                <w:szCs w:val="28"/>
              </w:rPr>
              <w:t>Purpose of the Report</w:t>
            </w:r>
            <w:r w:rsidRPr="00E406BE">
              <w:rPr>
                <w:rFonts w:ascii="Arial" w:hAnsi="Arial" w:cs="Arial"/>
                <w:noProof/>
                <w:webHidden/>
                <w:sz w:val="28"/>
                <w:szCs w:val="28"/>
              </w:rPr>
              <w:tab/>
            </w:r>
            <w:r w:rsidRPr="00E406BE">
              <w:rPr>
                <w:rFonts w:ascii="Arial" w:hAnsi="Arial" w:cs="Arial"/>
                <w:noProof/>
                <w:webHidden/>
                <w:sz w:val="28"/>
                <w:szCs w:val="28"/>
              </w:rPr>
              <w:fldChar w:fldCharType="begin"/>
            </w:r>
            <w:r w:rsidRPr="00E406BE">
              <w:rPr>
                <w:rFonts w:ascii="Arial" w:hAnsi="Arial" w:cs="Arial"/>
                <w:noProof/>
                <w:webHidden/>
                <w:sz w:val="28"/>
                <w:szCs w:val="28"/>
              </w:rPr>
              <w:instrText xml:space="preserve"> PAGEREF _Toc243923397 \h </w:instrText>
            </w:r>
            <w:r w:rsidRPr="00E406BE">
              <w:rPr>
                <w:rFonts w:ascii="Arial" w:hAnsi="Arial" w:cs="Arial"/>
                <w:noProof/>
                <w:webHidden/>
                <w:sz w:val="28"/>
                <w:szCs w:val="28"/>
              </w:rPr>
            </w:r>
            <w:r w:rsidRPr="00E406BE">
              <w:rPr>
                <w:rFonts w:ascii="Arial" w:hAnsi="Arial" w:cs="Arial"/>
                <w:noProof/>
                <w:webHidden/>
                <w:sz w:val="28"/>
                <w:szCs w:val="28"/>
              </w:rPr>
              <w:fldChar w:fldCharType="separate"/>
            </w:r>
            <w:r w:rsidRPr="00E406BE">
              <w:rPr>
                <w:rFonts w:ascii="Arial" w:hAnsi="Arial" w:cs="Arial"/>
                <w:noProof/>
                <w:webHidden/>
                <w:sz w:val="28"/>
                <w:szCs w:val="28"/>
              </w:rPr>
              <w:t>20</w:t>
            </w:r>
            <w:r w:rsidRPr="00E406BE">
              <w:rPr>
                <w:rFonts w:ascii="Arial" w:hAnsi="Arial" w:cs="Arial"/>
                <w:noProof/>
                <w:webHidden/>
                <w:sz w:val="28"/>
                <w:szCs w:val="28"/>
              </w:rPr>
              <w:fldChar w:fldCharType="end"/>
            </w:r>
          </w:hyperlink>
        </w:p>
        <w:p w14:paraId="2100D266" w14:textId="24AB06BA" w:rsidR="00E406BE" w:rsidRPr="00E406BE" w:rsidRDefault="00E406BE">
          <w:pPr>
            <w:pStyle w:val="TOC3"/>
            <w:tabs>
              <w:tab w:val="right" w:leader="dot" w:pos="9350"/>
            </w:tabs>
            <w:rPr>
              <w:rFonts w:ascii="Arial" w:eastAsiaTheme="minorEastAsia" w:hAnsi="Arial" w:cs="Arial"/>
              <w:noProof/>
              <w:kern w:val="2"/>
              <w:sz w:val="28"/>
              <w:szCs w:val="28"/>
              <w14:ligatures w14:val="standardContextual"/>
            </w:rPr>
          </w:pPr>
          <w:hyperlink w:anchor="_Toc243923398" w:history="1">
            <w:r w:rsidRPr="00E406BE">
              <w:rPr>
                <w:rStyle w:val="Hyperlink"/>
                <w:rFonts w:ascii="Arial" w:hAnsi="Arial" w:cs="Arial"/>
                <w:noProof/>
                <w:sz w:val="28"/>
                <w:szCs w:val="28"/>
              </w:rPr>
              <w:t>The Accessibility Competency Framework</w:t>
            </w:r>
            <w:r w:rsidRPr="00E406BE">
              <w:rPr>
                <w:rFonts w:ascii="Arial" w:hAnsi="Arial" w:cs="Arial"/>
                <w:noProof/>
                <w:webHidden/>
                <w:sz w:val="28"/>
                <w:szCs w:val="28"/>
              </w:rPr>
              <w:tab/>
            </w:r>
            <w:r w:rsidRPr="00E406BE">
              <w:rPr>
                <w:rFonts w:ascii="Arial" w:hAnsi="Arial" w:cs="Arial"/>
                <w:noProof/>
                <w:webHidden/>
                <w:sz w:val="28"/>
                <w:szCs w:val="28"/>
              </w:rPr>
              <w:fldChar w:fldCharType="begin"/>
            </w:r>
            <w:r w:rsidRPr="00E406BE">
              <w:rPr>
                <w:rFonts w:ascii="Arial" w:hAnsi="Arial" w:cs="Arial"/>
                <w:noProof/>
                <w:webHidden/>
                <w:sz w:val="28"/>
                <w:szCs w:val="28"/>
              </w:rPr>
              <w:instrText xml:space="preserve"> PAGEREF _Toc243923398 \h </w:instrText>
            </w:r>
            <w:r w:rsidRPr="00E406BE">
              <w:rPr>
                <w:rFonts w:ascii="Arial" w:hAnsi="Arial" w:cs="Arial"/>
                <w:noProof/>
                <w:webHidden/>
                <w:sz w:val="28"/>
                <w:szCs w:val="28"/>
              </w:rPr>
            </w:r>
            <w:r w:rsidRPr="00E406BE">
              <w:rPr>
                <w:rFonts w:ascii="Arial" w:hAnsi="Arial" w:cs="Arial"/>
                <w:noProof/>
                <w:webHidden/>
                <w:sz w:val="28"/>
                <w:szCs w:val="28"/>
              </w:rPr>
              <w:fldChar w:fldCharType="separate"/>
            </w:r>
            <w:r w:rsidRPr="00E406BE">
              <w:rPr>
                <w:rFonts w:ascii="Arial" w:hAnsi="Arial" w:cs="Arial"/>
                <w:noProof/>
                <w:webHidden/>
                <w:sz w:val="28"/>
                <w:szCs w:val="28"/>
              </w:rPr>
              <w:t>21</w:t>
            </w:r>
            <w:r w:rsidRPr="00E406BE">
              <w:rPr>
                <w:rFonts w:ascii="Arial" w:hAnsi="Arial" w:cs="Arial"/>
                <w:noProof/>
                <w:webHidden/>
                <w:sz w:val="28"/>
                <w:szCs w:val="28"/>
              </w:rPr>
              <w:fldChar w:fldCharType="end"/>
            </w:r>
          </w:hyperlink>
        </w:p>
        <w:p w14:paraId="37944BC7" w14:textId="0761EEE1" w:rsidR="00E406BE" w:rsidRPr="00E406BE" w:rsidRDefault="00E406BE">
          <w:pPr>
            <w:pStyle w:val="TOC3"/>
            <w:tabs>
              <w:tab w:val="right" w:leader="dot" w:pos="9350"/>
            </w:tabs>
            <w:rPr>
              <w:rFonts w:ascii="Arial" w:eastAsiaTheme="minorEastAsia" w:hAnsi="Arial" w:cs="Arial"/>
              <w:noProof/>
              <w:kern w:val="2"/>
              <w:sz w:val="28"/>
              <w:szCs w:val="28"/>
              <w14:ligatures w14:val="standardContextual"/>
            </w:rPr>
          </w:pPr>
          <w:hyperlink w:anchor="_Toc243923399" w:history="1">
            <w:r w:rsidRPr="00E406BE">
              <w:rPr>
                <w:rStyle w:val="Hyperlink"/>
                <w:rFonts w:ascii="Arial" w:hAnsi="Arial" w:cs="Arial"/>
                <w:noProof/>
                <w:sz w:val="28"/>
                <w:szCs w:val="28"/>
              </w:rPr>
              <w:t>Key Findings and Case for Change</w:t>
            </w:r>
            <w:r w:rsidRPr="00E406BE">
              <w:rPr>
                <w:rFonts w:ascii="Arial" w:hAnsi="Arial" w:cs="Arial"/>
                <w:noProof/>
                <w:webHidden/>
                <w:sz w:val="28"/>
                <w:szCs w:val="28"/>
              </w:rPr>
              <w:tab/>
            </w:r>
            <w:r w:rsidRPr="00E406BE">
              <w:rPr>
                <w:rFonts w:ascii="Arial" w:hAnsi="Arial" w:cs="Arial"/>
                <w:noProof/>
                <w:webHidden/>
                <w:sz w:val="28"/>
                <w:szCs w:val="28"/>
              </w:rPr>
              <w:fldChar w:fldCharType="begin"/>
            </w:r>
            <w:r w:rsidRPr="00E406BE">
              <w:rPr>
                <w:rFonts w:ascii="Arial" w:hAnsi="Arial" w:cs="Arial"/>
                <w:noProof/>
                <w:webHidden/>
                <w:sz w:val="28"/>
                <w:szCs w:val="28"/>
              </w:rPr>
              <w:instrText xml:space="preserve"> PAGEREF _Toc243923399 \h </w:instrText>
            </w:r>
            <w:r w:rsidRPr="00E406BE">
              <w:rPr>
                <w:rFonts w:ascii="Arial" w:hAnsi="Arial" w:cs="Arial"/>
                <w:noProof/>
                <w:webHidden/>
                <w:sz w:val="28"/>
                <w:szCs w:val="28"/>
              </w:rPr>
            </w:r>
            <w:r w:rsidRPr="00E406BE">
              <w:rPr>
                <w:rFonts w:ascii="Arial" w:hAnsi="Arial" w:cs="Arial"/>
                <w:noProof/>
                <w:webHidden/>
                <w:sz w:val="28"/>
                <w:szCs w:val="28"/>
              </w:rPr>
              <w:fldChar w:fldCharType="separate"/>
            </w:r>
            <w:r w:rsidRPr="00E406BE">
              <w:rPr>
                <w:rFonts w:ascii="Arial" w:hAnsi="Arial" w:cs="Arial"/>
                <w:noProof/>
                <w:webHidden/>
                <w:sz w:val="28"/>
                <w:szCs w:val="28"/>
              </w:rPr>
              <w:t>22</w:t>
            </w:r>
            <w:r w:rsidRPr="00E406BE">
              <w:rPr>
                <w:rFonts w:ascii="Arial" w:hAnsi="Arial" w:cs="Arial"/>
                <w:noProof/>
                <w:webHidden/>
                <w:sz w:val="28"/>
                <w:szCs w:val="28"/>
              </w:rPr>
              <w:fldChar w:fldCharType="end"/>
            </w:r>
          </w:hyperlink>
        </w:p>
        <w:p w14:paraId="4F2BD806" w14:textId="08CCD3E6" w:rsidR="00E406BE" w:rsidRPr="00E406BE" w:rsidRDefault="00E406BE">
          <w:pPr>
            <w:pStyle w:val="TOC3"/>
            <w:tabs>
              <w:tab w:val="right" w:leader="dot" w:pos="9350"/>
            </w:tabs>
            <w:rPr>
              <w:rFonts w:ascii="Arial" w:eastAsiaTheme="minorEastAsia" w:hAnsi="Arial" w:cs="Arial"/>
              <w:noProof/>
              <w:kern w:val="2"/>
              <w:sz w:val="28"/>
              <w:szCs w:val="28"/>
              <w14:ligatures w14:val="standardContextual"/>
            </w:rPr>
          </w:pPr>
          <w:hyperlink w:anchor="_Toc243923400" w:history="1">
            <w:r w:rsidRPr="00E406BE">
              <w:rPr>
                <w:rStyle w:val="Hyperlink"/>
                <w:rFonts w:ascii="Arial" w:hAnsi="Arial" w:cs="Arial"/>
                <w:noProof/>
                <w:sz w:val="28"/>
                <w:szCs w:val="28"/>
              </w:rPr>
              <w:t>Key Recommendations</w:t>
            </w:r>
            <w:r w:rsidRPr="00E406BE">
              <w:rPr>
                <w:rFonts w:ascii="Arial" w:hAnsi="Arial" w:cs="Arial"/>
                <w:noProof/>
                <w:webHidden/>
                <w:sz w:val="28"/>
                <w:szCs w:val="28"/>
              </w:rPr>
              <w:tab/>
            </w:r>
            <w:r w:rsidRPr="00E406BE">
              <w:rPr>
                <w:rFonts w:ascii="Arial" w:hAnsi="Arial" w:cs="Arial"/>
                <w:noProof/>
                <w:webHidden/>
                <w:sz w:val="28"/>
                <w:szCs w:val="28"/>
              </w:rPr>
              <w:fldChar w:fldCharType="begin"/>
            </w:r>
            <w:r w:rsidRPr="00E406BE">
              <w:rPr>
                <w:rFonts w:ascii="Arial" w:hAnsi="Arial" w:cs="Arial"/>
                <w:noProof/>
                <w:webHidden/>
                <w:sz w:val="28"/>
                <w:szCs w:val="28"/>
              </w:rPr>
              <w:instrText xml:space="preserve"> PAGEREF _Toc243923400 \h </w:instrText>
            </w:r>
            <w:r w:rsidRPr="00E406BE">
              <w:rPr>
                <w:rFonts w:ascii="Arial" w:hAnsi="Arial" w:cs="Arial"/>
                <w:noProof/>
                <w:webHidden/>
                <w:sz w:val="28"/>
                <w:szCs w:val="28"/>
              </w:rPr>
            </w:r>
            <w:r w:rsidRPr="00E406BE">
              <w:rPr>
                <w:rFonts w:ascii="Arial" w:hAnsi="Arial" w:cs="Arial"/>
                <w:noProof/>
                <w:webHidden/>
                <w:sz w:val="28"/>
                <w:szCs w:val="28"/>
              </w:rPr>
              <w:fldChar w:fldCharType="separate"/>
            </w:r>
            <w:r w:rsidRPr="00E406BE">
              <w:rPr>
                <w:rFonts w:ascii="Arial" w:hAnsi="Arial" w:cs="Arial"/>
                <w:noProof/>
                <w:webHidden/>
                <w:sz w:val="28"/>
                <w:szCs w:val="28"/>
              </w:rPr>
              <w:t>23</w:t>
            </w:r>
            <w:r w:rsidRPr="00E406BE">
              <w:rPr>
                <w:rFonts w:ascii="Arial" w:hAnsi="Arial" w:cs="Arial"/>
                <w:noProof/>
                <w:webHidden/>
                <w:sz w:val="28"/>
                <w:szCs w:val="28"/>
              </w:rPr>
              <w:fldChar w:fldCharType="end"/>
            </w:r>
          </w:hyperlink>
        </w:p>
        <w:p w14:paraId="600B4A00" w14:textId="09310E53" w:rsidR="00E406BE" w:rsidRPr="00E406BE" w:rsidRDefault="00E406BE">
          <w:pPr>
            <w:pStyle w:val="TOC2"/>
            <w:tabs>
              <w:tab w:val="right" w:leader="dot" w:pos="9350"/>
            </w:tabs>
            <w:rPr>
              <w:rFonts w:ascii="Arial" w:eastAsiaTheme="minorEastAsia" w:hAnsi="Arial" w:cs="Arial"/>
              <w:noProof/>
              <w:kern w:val="2"/>
              <w:sz w:val="28"/>
              <w:szCs w:val="28"/>
              <w14:ligatures w14:val="standardContextual"/>
            </w:rPr>
          </w:pPr>
          <w:hyperlink w:anchor="_Toc243923401" w:history="1">
            <w:r w:rsidRPr="00E406BE">
              <w:rPr>
                <w:rStyle w:val="Hyperlink"/>
                <w:rFonts w:ascii="Arial" w:hAnsi="Arial" w:cs="Arial"/>
                <w:noProof/>
                <w:sz w:val="28"/>
                <w:szCs w:val="28"/>
              </w:rPr>
              <w:t>Chapter 2. Literature Review and Environmental Scan</w:t>
            </w:r>
            <w:r w:rsidRPr="00E406BE">
              <w:rPr>
                <w:rFonts w:ascii="Arial" w:hAnsi="Arial" w:cs="Arial"/>
                <w:noProof/>
                <w:webHidden/>
                <w:sz w:val="28"/>
                <w:szCs w:val="28"/>
              </w:rPr>
              <w:tab/>
            </w:r>
            <w:r w:rsidRPr="00E406BE">
              <w:rPr>
                <w:rFonts w:ascii="Arial" w:hAnsi="Arial" w:cs="Arial"/>
                <w:noProof/>
                <w:webHidden/>
                <w:sz w:val="28"/>
                <w:szCs w:val="28"/>
              </w:rPr>
              <w:fldChar w:fldCharType="begin"/>
            </w:r>
            <w:r w:rsidRPr="00E406BE">
              <w:rPr>
                <w:rFonts w:ascii="Arial" w:hAnsi="Arial" w:cs="Arial"/>
                <w:noProof/>
                <w:webHidden/>
                <w:sz w:val="28"/>
                <w:szCs w:val="28"/>
              </w:rPr>
              <w:instrText xml:space="preserve"> PAGEREF _Toc243923401 \h </w:instrText>
            </w:r>
            <w:r w:rsidRPr="00E406BE">
              <w:rPr>
                <w:rFonts w:ascii="Arial" w:hAnsi="Arial" w:cs="Arial"/>
                <w:noProof/>
                <w:webHidden/>
                <w:sz w:val="28"/>
                <w:szCs w:val="28"/>
              </w:rPr>
            </w:r>
            <w:r w:rsidRPr="00E406BE">
              <w:rPr>
                <w:rFonts w:ascii="Arial" w:hAnsi="Arial" w:cs="Arial"/>
                <w:noProof/>
                <w:webHidden/>
                <w:sz w:val="28"/>
                <w:szCs w:val="28"/>
              </w:rPr>
              <w:fldChar w:fldCharType="separate"/>
            </w:r>
            <w:r w:rsidRPr="00E406BE">
              <w:rPr>
                <w:rFonts w:ascii="Arial" w:hAnsi="Arial" w:cs="Arial"/>
                <w:noProof/>
                <w:webHidden/>
                <w:sz w:val="28"/>
                <w:szCs w:val="28"/>
              </w:rPr>
              <w:t>26</w:t>
            </w:r>
            <w:r w:rsidRPr="00E406BE">
              <w:rPr>
                <w:rFonts w:ascii="Arial" w:hAnsi="Arial" w:cs="Arial"/>
                <w:noProof/>
                <w:webHidden/>
                <w:sz w:val="28"/>
                <w:szCs w:val="28"/>
              </w:rPr>
              <w:fldChar w:fldCharType="end"/>
            </w:r>
          </w:hyperlink>
        </w:p>
        <w:p w14:paraId="2C22CA74" w14:textId="0E05362A" w:rsidR="00E406BE" w:rsidRPr="00E406BE" w:rsidRDefault="00E406BE">
          <w:pPr>
            <w:pStyle w:val="TOC3"/>
            <w:tabs>
              <w:tab w:val="right" w:leader="dot" w:pos="9350"/>
            </w:tabs>
            <w:rPr>
              <w:rFonts w:ascii="Arial" w:eastAsiaTheme="minorEastAsia" w:hAnsi="Arial" w:cs="Arial"/>
              <w:noProof/>
              <w:kern w:val="2"/>
              <w:sz w:val="28"/>
              <w:szCs w:val="28"/>
              <w14:ligatures w14:val="standardContextual"/>
            </w:rPr>
          </w:pPr>
          <w:hyperlink w:anchor="_Toc243923402" w:history="1">
            <w:r w:rsidRPr="00E406BE">
              <w:rPr>
                <w:rStyle w:val="Hyperlink"/>
                <w:rFonts w:ascii="Arial" w:hAnsi="Arial" w:cs="Arial"/>
                <w:noProof/>
                <w:sz w:val="28"/>
                <w:szCs w:val="28"/>
              </w:rPr>
              <w:t>Literature review</w:t>
            </w:r>
            <w:r w:rsidRPr="00E406BE">
              <w:rPr>
                <w:rFonts w:ascii="Arial" w:hAnsi="Arial" w:cs="Arial"/>
                <w:noProof/>
                <w:webHidden/>
                <w:sz w:val="28"/>
                <w:szCs w:val="28"/>
              </w:rPr>
              <w:tab/>
            </w:r>
            <w:r w:rsidRPr="00E406BE">
              <w:rPr>
                <w:rFonts w:ascii="Arial" w:hAnsi="Arial" w:cs="Arial"/>
                <w:noProof/>
                <w:webHidden/>
                <w:sz w:val="28"/>
                <w:szCs w:val="28"/>
              </w:rPr>
              <w:fldChar w:fldCharType="begin"/>
            </w:r>
            <w:r w:rsidRPr="00E406BE">
              <w:rPr>
                <w:rFonts w:ascii="Arial" w:hAnsi="Arial" w:cs="Arial"/>
                <w:noProof/>
                <w:webHidden/>
                <w:sz w:val="28"/>
                <w:szCs w:val="28"/>
              </w:rPr>
              <w:instrText xml:space="preserve"> PAGEREF _Toc243923402 \h </w:instrText>
            </w:r>
            <w:r w:rsidRPr="00E406BE">
              <w:rPr>
                <w:rFonts w:ascii="Arial" w:hAnsi="Arial" w:cs="Arial"/>
                <w:noProof/>
                <w:webHidden/>
                <w:sz w:val="28"/>
                <w:szCs w:val="28"/>
              </w:rPr>
            </w:r>
            <w:r w:rsidRPr="00E406BE">
              <w:rPr>
                <w:rFonts w:ascii="Arial" w:hAnsi="Arial" w:cs="Arial"/>
                <w:noProof/>
                <w:webHidden/>
                <w:sz w:val="28"/>
                <w:szCs w:val="28"/>
              </w:rPr>
              <w:fldChar w:fldCharType="separate"/>
            </w:r>
            <w:r w:rsidRPr="00E406BE">
              <w:rPr>
                <w:rFonts w:ascii="Arial" w:hAnsi="Arial" w:cs="Arial"/>
                <w:noProof/>
                <w:webHidden/>
                <w:sz w:val="28"/>
                <w:szCs w:val="28"/>
              </w:rPr>
              <w:t>26</w:t>
            </w:r>
            <w:r w:rsidRPr="00E406BE">
              <w:rPr>
                <w:rFonts w:ascii="Arial" w:hAnsi="Arial" w:cs="Arial"/>
                <w:noProof/>
                <w:webHidden/>
                <w:sz w:val="28"/>
                <w:szCs w:val="28"/>
              </w:rPr>
              <w:fldChar w:fldCharType="end"/>
            </w:r>
          </w:hyperlink>
        </w:p>
        <w:p w14:paraId="4DBD7F8F" w14:textId="6A4DCC39" w:rsidR="00E406BE" w:rsidRPr="00E406BE" w:rsidRDefault="00E406BE">
          <w:pPr>
            <w:pStyle w:val="TOC3"/>
            <w:tabs>
              <w:tab w:val="right" w:leader="dot" w:pos="9350"/>
            </w:tabs>
            <w:rPr>
              <w:rFonts w:ascii="Arial" w:eastAsiaTheme="minorEastAsia" w:hAnsi="Arial" w:cs="Arial"/>
              <w:noProof/>
              <w:kern w:val="2"/>
              <w:sz w:val="28"/>
              <w:szCs w:val="28"/>
              <w14:ligatures w14:val="standardContextual"/>
            </w:rPr>
          </w:pPr>
          <w:hyperlink w:anchor="_Toc243923403" w:history="1">
            <w:r w:rsidRPr="00E406BE">
              <w:rPr>
                <w:rStyle w:val="Hyperlink"/>
                <w:rFonts w:ascii="Arial" w:hAnsi="Arial" w:cs="Arial"/>
                <w:noProof/>
                <w:sz w:val="28"/>
                <w:szCs w:val="28"/>
                <w:shd w:val="clear" w:color="auto" w:fill="FFF200"/>
              </w:rPr>
              <w:t>Persistent gaps between policy and practice</w:t>
            </w:r>
            <w:r w:rsidRPr="00E406BE">
              <w:rPr>
                <w:rFonts w:ascii="Arial" w:hAnsi="Arial" w:cs="Arial"/>
                <w:noProof/>
                <w:webHidden/>
                <w:sz w:val="28"/>
                <w:szCs w:val="28"/>
              </w:rPr>
              <w:tab/>
            </w:r>
            <w:r w:rsidRPr="00E406BE">
              <w:rPr>
                <w:rFonts w:ascii="Arial" w:hAnsi="Arial" w:cs="Arial"/>
                <w:noProof/>
                <w:webHidden/>
                <w:sz w:val="28"/>
                <w:szCs w:val="28"/>
              </w:rPr>
              <w:fldChar w:fldCharType="begin"/>
            </w:r>
            <w:r w:rsidRPr="00E406BE">
              <w:rPr>
                <w:rFonts w:ascii="Arial" w:hAnsi="Arial" w:cs="Arial"/>
                <w:noProof/>
                <w:webHidden/>
                <w:sz w:val="28"/>
                <w:szCs w:val="28"/>
              </w:rPr>
              <w:instrText xml:space="preserve"> PAGEREF _Toc243923403 \h </w:instrText>
            </w:r>
            <w:r w:rsidRPr="00E406BE">
              <w:rPr>
                <w:rFonts w:ascii="Arial" w:hAnsi="Arial" w:cs="Arial"/>
                <w:noProof/>
                <w:webHidden/>
                <w:sz w:val="28"/>
                <w:szCs w:val="28"/>
              </w:rPr>
            </w:r>
            <w:r w:rsidRPr="00E406BE">
              <w:rPr>
                <w:rFonts w:ascii="Arial" w:hAnsi="Arial" w:cs="Arial"/>
                <w:noProof/>
                <w:webHidden/>
                <w:sz w:val="28"/>
                <w:szCs w:val="28"/>
              </w:rPr>
              <w:fldChar w:fldCharType="separate"/>
            </w:r>
            <w:r w:rsidRPr="00E406BE">
              <w:rPr>
                <w:rFonts w:ascii="Arial" w:hAnsi="Arial" w:cs="Arial"/>
                <w:noProof/>
                <w:webHidden/>
                <w:sz w:val="28"/>
                <w:szCs w:val="28"/>
              </w:rPr>
              <w:t>29</w:t>
            </w:r>
            <w:r w:rsidRPr="00E406BE">
              <w:rPr>
                <w:rFonts w:ascii="Arial" w:hAnsi="Arial" w:cs="Arial"/>
                <w:noProof/>
                <w:webHidden/>
                <w:sz w:val="28"/>
                <w:szCs w:val="28"/>
              </w:rPr>
              <w:fldChar w:fldCharType="end"/>
            </w:r>
          </w:hyperlink>
        </w:p>
        <w:p w14:paraId="79D36C5C" w14:textId="3B0E39E9" w:rsidR="00E406BE" w:rsidRPr="00E406BE" w:rsidRDefault="00E406BE">
          <w:pPr>
            <w:pStyle w:val="TOC3"/>
            <w:tabs>
              <w:tab w:val="right" w:leader="dot" w:pos="9350"/>
            </w:tabs>
            <w:rPr>
              <w:rFonts w:ascii="Arial" w:eastAsiaTheme="minorEastAsia" w:hAnsi="Arial" w:cs="Arial"/>
              <w:noProof/>
              <w:kern w:val="2"/>
              <w:sz w:val="28"/>
              <w:szCs w:val="28"/>
              <w14:ligatures w14:val="standardContextual"/>
            </w:rPr>
          </w:pPr>
          <w:hyperlink w:anchor="_Toc243923404" w:history="1">
            <w:r w:rsidRPr="00E406BE">
              <w:rPr>
                <w:rStyle w:val="Hyperlink"/>
                <w:rFonts w:ascii="Arial" w:hAnsi="Arial" w:cs="Arial"/>
                <w:noProof/>
                <w:sz w:val="28"/>
                <w:szCs w:val="28"/>
              </w:rPr>
              <w:t>Environmental Scan</w:t>
            </w:r>
            <w:r w:rsidRPr="00E406BE">
              <w:rPr>
                <w:rFonts w:ascii="Arial" w:hAnsi="Arial" w:cs="Arial"/>
                <w:noProof/>
                <w:webHidden/>
                <w:sz w:val="28"/>
                <w:szCs w:val="28"/>
              </w:rPr>
              <w:tab/>
            </w:r>
            <w:r w:rsidRPr="00E406BE">
              <w:rPr>
                <w:rFonts w:ascii="Arial" w:hAnsi="Arial" w:cs="Arial"/>
                <w:noProof/>
                <w:webHidden/>
                <w:sz w:val="28"/>
                <w:szCs w:val="28"/>
              </w:rPr>
              <w:fldChar w:fldCharType="begin"/>
            </w:r>
            <w:r w:rsidRPr="00E406BE">
              <w:rPr>
                <w:rFonts w:ascii="Arial" w:hAnsi="Arial" w:cs="Arial"/>
                <w:noProof/>
                <w:webHidden/>
                <w:sz w:val="28"/>
                <w:szCs w:val="28"/>
              </w:rPr>
              <w:instrText xml:space="preserve"> PAGEREF _Toc243923404 \h </w:instrText>
            </w:r>
            <w:r w:rsidRPr="00E406BE">
              <w:rPr>
                <w:rFonts w:ascii="Arial" w:hAnsi="Arial" w:cs="Arial"/>
                <w:noProof/>
                <w:webHidden/>
                <w:sz w:val="28"/>
                <w:szCs w:val="28"/>
              </w:rPr>
            </w:r>
            <w:r w:rsidRPr="00E406BE">
              <w:rPr>
                <w:rFonts w:ascii="Arial" w:hAnsi="Arial" w:cs="Arial"/>
                <w:noProof/>
                <w:webHidden/>
                <w:sz w:val="28"/>
                <w:szCs w:val="28"/>
              </w:rPr>
              <w:fldChar w:fldCharType="separate"/>
            </w:r>
            <w:r w:rsidRPr="00E406BE">
              <w:rPr>
                <w:rFonts w:ascii="Arial" w:hAnsi="Arial" w:cs="Arial"/>
                <w:noProof/>
                <w:webHidden/>
                <w:sz w:val="28"/>
                <w:szCs w:val="28"/>
              </w:rPr>
              <w:t>37</w:t>
            </w:r>
            <w:r w:rsidRPr="00E406BE">
              <w:rPr>
                <w:rFonts w:ascii="Arial" w:hAnsi="Arial" w:cs="Arial"/>
                <w:noProof/>
                <w:webHidden/>
                <w:sz w:val="28"/>
                <w:szCs w:val="28"/>
              </w:rPr>
              <w:fldChar w:fldCharType="end"/>
            </w:r>
          </w:hyperlink>
        </w:p>
        <w:p w14:paraId="3EF0F657" w14:textId="750E3B88" w:rsidR="00E406BE" w:rsidRPr="00E406BE" w:rsidRDefault="00E406BE">
          <w:pPr>
            <w:pStyle w:val="TOC3"/>
            <w:tabs>
              <w:tab w:val="right" w:leader="dot" w:pos="9350"/>
            </w:tabs>
            <w:rPr>
              <w:rFonts w:ascii="Arial" w:eastAsiaTheme="minorEastAsia" w:hAnsi="Arial" w:cs="Arial"/>
              <w:noProof/>
              <w:kern w:val="2"/>
              <w:sz w:val="28"/>
              <w:szCs w:val="28"/>
              <w14:ligatures w14:val="standardContextual"/>
            </w:rPr>
          </w:pPr>
          <w:hyperlink w:anchor="_Toc243923405" w:history="1">
            <w:r w:rsidRPr="00E406BE">
              <w:rPr>
                <w:rStyle w:val="Hyperlink"/>
                <w:rFonts w:ascii="Arial" w:hAnsi="Arial" w:cs="Arial"/>
                <w:noProof/>
                <w:sz w:val="28"/>
                <w:szCs w:val="28"/>
              </w:rPr>
              <w:t>Consolidated Literature and Scan Evidence</w:t>
            </w:r>
            <w:r w:rsidRPr="00E406BE">
              <w:rPr>
                <w:rFonts w:ascii="Arial" w:hAnsi="Arial" w:cs="Arial"/>
                <w:noProof/>
                <w:webHidden/>
                <w:sz w:val="28"/>
                <w:szCs w:val="28"/>
              </w:rPr>
              <w:tab/>
            </w:r>
            <w:r w:rsidRPr="00E406BE">
              <w:rPr>
                <w:rFonts w:ascii="Arial" w:hAnsi="Arial" w:cs="Arial"/>
                <w:noProof/>
                <w:webHidden/>
                <w:sz w:val="28"/>
                <w:szCs w:val="28"/>
              </w:rPr>
              <w:fldChar w:fldCharType="begin"/>
            </w:r>
            <w:r w:rsidRPr="00E406BE">
              <w:rPr>
                <w:rFonts w:ascii="Arial" w:hAnsi="Arial" w:cs="Arial"/>
                <w:noProof/>
                <w:webHidden/>
                <w:sz w:val="28"/>
                <w:szCs w:val="28"/>
              </w:rPr>
              <w:instrText xml:space="preserve"> PAGEREF _Toc243923405 \h </w:instrText>
            </w:r>
            <w:r w:rsidRPr="00E406BE">
              <w:rPr>
                <w:rFonts w:ascii="Arial" w:hAnsi="Arial" w:cs="Arial"/>
                <w:noProof/>
                <w:webHidden/>
                <w:sz w:val="28"/>
                <w:szCs w:val="28"/>
              </w:rPr>
            </w:r>
            <w:r w:rsidRPr="00E406BE">
              <w:rPr>
                <w:rFonts w:ascii="Arial" w:hAnsi="Arial" w:cs="Arial"/>
                <w:noProof/>
                <w:webHidden/>
                <w:sz w:val="28"/>
                <w:szCs w:val="28"/>
              </w:rPr>
              <w:fldChar w:fldCharType="separate"/>
            </w:r>
            <w:r w:rsidRPr="00E406BE">
              <w:rPr>
                <w:rFonts w:ascii="Arial" w:hAnsi="Arial" w:cs="Arial"/>
                <w:noProof/>
                <w:webHidden/>
                <w:sz w:val="28"/>
                <w:szCs w:val="28"/>
              </w:rPr>
              <w:t>42</w:t>
            </w:r>
            <w:r w:rsidRPr="00E406BE">
              <w:rPr>
                <w:rFonts w:ascii="Arial" w:hAnsi="Arial" w:cs="Arial"/>
                <w:noProof/>
                <w:webHidden/>
                <w:sz w:val="28"/>
                <w:szCs w:val="28"/>
              </w:rPr>
              <w:fldChar w:fldCharType="end"/>
            </w:r>
          </w:hyperlink>
        </w:p>
        <w:p w14:paraId="3D273741" w14:textId="56076937" w:rsidR="00E406BE" w:rsidRPr="00E406BE" w:rsidRDefault="00E406BE">
          <w:pPr>
            <w:pStyle w:val="TOC2"/>
            <w:tabs>
              <w:tab w:val="right" w:leader="dot" w:pos="9350"/>
            </w:tabs>
            <w:rPr>
              <w:rFonts w:ascii="Arial" w:eastAsiaTheme="minorEastAsia" w:hAnsi="Arial" w:cs="Arial"/>
              <w:noProof/>
              <w:kern w:val="2"/>
              <w:sz w:val="28"/>
              <w:szCs w:val="28"/>
              <w14:ligatures w14:val="standardContextual"/>
            </w:rPr>
          </w:pPr>
          <w:hyperlink w:anchor="_Toc243923406" w:history="1">
            <w:r w:rsidRPr="00E406BE">
              <w:rPr>
                <w:rStyle w:val="Hyperlink"/>
                <w:rFonts w:ascii="Arial" w:eastAsia="Times New Roman" w:hAnsi="Arial" w:cs="Arial"/>
                <w:noProof/>
                <w:sz w:val="28"/>
                <w:szCs w:val="28"/>
              </w:rPr>
              <w:t>Chapter 3. Organizational Signaling and Accessibility Commitments: Findings from the IDEA Audit</w:t>
            </w:r>
            <w:r w:rsidRPr="00E406BE">
              <w:rPr>
                <w:rFonts w:ascii="Arial" w:hAnsi="Arial" w:cs="Arial"/>
                <w:noProof/>
                <w:webHidden/>
                <w:sz w:val="28"/>
                <w:szCs w:val="28"/>
              </w:rPr>
              <w:tab/>
            </w:r>
            <w:r w:rsidRPr="00E406BE">
              <w:rPr>
                <w:rFonts w:ascii="Arial" w:hAnsi="Arial" w:cs="Arial"/>
                <w:noProof/>
                <w:webHidden/>
                <w:sz w:val="28"/>
                <w:szCs w:val="28"/>
              </w:rPr>
              <w:fldChar w:fldCharType="begin"/>
            </w:r>
            <w:r w:rsidRPr="00E406BE">
              <w:rPr>
                <w:rFonts w:ascii="Arial" w:hAnsi="Arial" w:cs="Arial"/>
                <w:noProof/>
                <w:webHidden/>
                <w:sz w:val="28"/>
                <w:szCs w:val="28"/>
              </w:rPr>
              <w:instrText xml:space="preserve"> PAGEREF _Toc243923406 \h </w:instrText>
            </w:r>
            <w:r w:rsidRPr="00E406BE">
              <w:rPr>
                <w:rFonts w:ascii="Arial" w:hAnsi="Arial" w:cs="Arial"/>
                <w:noProof/>
                <w:webHidden/>
                <w:sz w:val="28"/>
                <w:szCs w:val="28"/>
              </w:rPr>
            </w:r>
            <w:r w:rsidRPr="00E406BE">
              <w:rPr>
                <w:rFonts w:ascii="Arial" w:hAnsi="Arial" w:cs="Arial"/>
                <w:noProof/>
                <w:webHidden/>
                <w:sz w:val="28"/>
                <w:szCs w:val="28"/>
              </w:rPr>
              <w:fldChar w:fldCharType="separate"/>
            </w:r>
            <w:r w:rsidRPr="00E406BE">
              <w:rPr>
                <w:rFonts w:ascii="Arial" w:hAnsi="Arial" w:cs="Arial"/>
                <w:noProof/>
                <w:webHidden/>
                <w:sz w:val="28"/>
                <w:szCs w:val="28"/>
              </w:rPr>
              <w:t>52</w:t>
            </w:r>
            <w:r w:rsidRPr="00E406BE">
              <w:rPr>
                <w:rFonts w:ascii="Arial" w:hAnsi="Arial" w:cs="Arial"/>
                <w:noProof/>
                <w:webHidden/>
                <w:sz w:val="28"/>
                <w:szCs w:val="28"/>
              </w:rPr>
              <w:fldChar w:fldCharType="end"/>
            </w:r>
          </w:hyperlink>
        </w:p>
        <w:p w14:paraId="247F95AD" w14:textId="70DD9BB5" w:rsidR="00E406BE" w:rsidRPr="00E406BE" w:rsidRDefault="00E406BE">
          <w:pPr>
            <w:pStyle w:val="TOC3"/>
            <w:tabs>
              <w:tab w:val="right" w:leader="dot" w:pos="9350"/>
            </w:tabs>
            <w:rPr>
              <w:rFonts w:ascii="Arial" w:eastAsiaTheme="minorEastAsia" w:hAnsi="Arial" w:cs="Arial"/>
              <w:noProof/>
              <w:kern w:val="2"/>
              <w:sz w:val="28"/>
              <w:szCs w:val="28"/>
              <w14:ligatures w14:val="standardContextual"/>
            </w:rPr>
          </w:pPr>
          <w:hyperlink w:anchor="_Toc243923407" w:history="1">
            <w:r w:rsidRPr="00E406BE">
              <w:rPr>
                <w:rStyle w:val="Hyperlink"/>
                <w:rFonts w:ascii="Arial" w:hAnsi="Arial" w:cs="Arial"/>
                <w:noProof/>
                <w:sz w:val="28"/>
                <w:szCs w:val="28"/>
              </w:rPr>
              <w:t>Project Context and Partnerships</w:t>
            </w:r>
            <w:r w:rsidRPr="00E406BE">
              <w:rPr>
                <w:rFonts w:ascii="Arial" w:hAnsi="Arial" w:cs="Arial"/>
                <w:noProof/>
                <w:webHidden/>
                <w:sz w:val="28"/>
                <w:szCs w:val="28"/>
              </w:rPr>
              <w:tab/>
            </w:r>
            <w:r w:rsidRPr="00E406BE">
              <w:rPr>
                <w:rFonts w:ascii="Arial" w:hAnsi="Arial" w:cs="Arial"/>
                <w:noProof/>
                <w:webHidden/>
                <w:sz w:val="28"/>
                <w:szCs w:val="28"/>
              </w:rPr>
              <w:fldChar w:fldCharType="begin"/>
            </w:r>
            <w:r w:rsidRPr="00E406BE">
              <w:rPr>
                <w:rFonts w:ascii="Arial" w:hAnsi="Arial" w:cs="Arial"/>
                <w:noProof/>
                <w:webHidden/>
                <w:sz w:val="28"/>
                <w:szCs w:val="28"/>
              </w:rPr>
              <w:instrText xml:space="preserve"> PAGEREF _Toc243923407 \h </w:instrText>
            </w:r>
            <w:r w:rsidRPr="00E406BE">
              <w:rPr>
                <w:rFonts w:ascii="Arial" w:hAnsi="Arial" w:cs="Arial"/>
                <w:noProof/>
                <w:webHidden/>
                <w:sz w:val="28"/>
                <w:szCs w:val="28"/>
              </w:rPr>
            </w:r>
            <w:r w:rsidRPr="00E406BE">
              <w:rPr>
                <w:rFonts w:ascii="Arial" w:hAnsi="Arial" w:cs="Arial"/>
                <w:noProof/>
                <w:webHidden/>
                <w:sz w:val="28"/>
                <w:szCs w:val="28"/>
              </w:rPr>
              <w:fldChar w:fldCharType="separate"/>
            </w:r>
            <w:r w:rsidRPr="00E406BE">
              <w:rPr>
                <w:rFonts w:ascii="Arial" w:hAnsi="Arial" w:cs="Arial"/>
                <w:noProof/>
                <w:webHidden/>
                <w:sz w:val="28"/>
                <w:szCs w:val="28"/>
              </w:rPr>
              <w:t>52</w:t>
            </w:r>
            <w:r w:rsidRPr="00E406BE">
              <w:rPr>
                <w:rFonts w:ascii="Arial" w:hAnsi="Arial" w:cs="Arial"/>
                <w:noProof/>
                <w:webHidden/>
                <w:sz w:val="28"/>
                <w:szCs w:val="28"/>
              </w:rPr>
              <w:fldChar w:fldCharType="end"/>
            </w:r>
          </w:hyperlink>
        </w:p>
        <w:p w14:paraId="4D9DD840" w14:textId="471AF4CF" w:rsidR="00E406BE" w:rsidRPr="00E406BE" w:rsidRDefault="00E406BE">
          <w:pPr>
            <w:pStyle w:val="TOC3"/>
            <w:tabs>
              <w:tab w:val="right" w:leader="dot" w:pos="9350"/>
            </w:tabs>
            <w:rPr>
              <w:rFonts w:ascii="Arial" w:eastAsiaTheme="minorEastAsia" w:hAnsi="Arial" w:cs="Arial"/>
              <w:noProof/>
              <w:kern w:val="2"/>
              <w:sz w:val="28"/>
              <w:szCs w:val="28"/>
              <w14:ligatures w14:val="standardContextual"/>
            </w:rPr>
          </w:pPr>
          <w:hyperlink w:anchor="_Toc243923408" w:history="1">
            <w:r w:rsidRPr="00E406BE">
              <w:rPr>
                <w:rStyle w:val="Hyperlink"/>
                <w:rFonts w:ascii="Arial" w:hAnsi="Arial" w:cs="Arial"/>
                <w:noProof/>
                <w:sz w:val="28"/>
                <w:szCs w:val="28"/>
              </w:rPr>
              <w:t>Audit Tool Development Overview</w:t>
            </w:r>
            <w:r w:rsidRPr="00E406BE">
              <w:rPr>
                <w:rFonts w:ascii="Arial" w:hAnsi="Arial" w:cs="Arial"/>
                <w:noProof/>
                <w:webHidden/>
                <w:sz w:val="28"/>
                <w:szCs w:val="28"/>
              </w:rPr>
              <w:tab/>
            </w:r>
            <w:r w:rsidRPr="00E406BE">
              <w:rPr>
                <w:rFonts w:ascii="Arial" w:hAnsi="Arial" w:cs="Arial"/>
                <w:noProof/>
                <w:webHidden/>
                <w:sz w:val="28"/>
                <w:szCs w:val="28"/>
              </w:rPr>
              <w:fldChar w:fldCharType="begin"/>
            </w:r>
            <w:r w:rsidRPr="00E406BE">
              <w:rPr>
                <w:rFonts w:ascii="Arial" w:hAnsi="Arial" w:cs="Arial"/>
                <w:noProof/>
                <w:webHidden/>
                <w:sz w:val="28"/>
                <w:szCs w:val="28"/>
              </w:rPr>
              <w:instrText xml:space="preserve"> PAGEREF _Toc243923408 \h </w:instrText>
            </w:r>
            <w:r w:rsidRPr="00E406BE">
              <w:rPr>
                <w:rFonts w:ascii="Arial" w:hAnsi="Arial" w:cs="Arial"/>
                <w:noProof/>
                <w:webHidden/>
                <w:sz w:val="28"/>
                <w:szCs w:val="28"/>
              </w:rPr>
            </w:r>
            <w:r w:rsidRPr="00E406BE">
              <w:rPr>
                <w:rFonts w:ascii="Arial" w:hAnsi="Arial" w:cs="Arial"/>
                <w:noProof/>
                <w:webHidden/>
                <w:sz w:val="28"/>
                <w:szCs w:val="28"/>
              </w:rPr>
              <w:fldChar w:fldCharType="separate"/>
            </w:r>
            <w:r w:rsidRPr="00E406BE">
              <w:rPr>
                <w:rFonts w:ascii="Arial" w:hAnsi="Arial" w:cs="Arial"/>
                <w:noProof/>
                <w:webHidden/>
                <w:sz w:val="28"/>
                <w:szCs w:val="28"/>
              </w:rPr>
              <w:t>53</w:t>
            </w:r>
            <w:r w:rsidRPr="00E406BE">
              <w:rPr>
                <w:rFonts w:ascii="Arial" w:hAnsi="Arial" w:cs="Arial"/>
                <w:noProof/>
                <w:webHidden/>
                <w:sz w:val="28"/>
                <w:szCs w:val="28"/>
              </w:rPr>
              <w:fldChar w:fldCharType="end"/>
            </w:r>
          </w:hyperlink>
        </w:p>
        <w:p w14:paraId="3B7DF740" w14:textId="43D04EFC" w:rsidR="00E406BE" w:rsidRPr="00E406BE" w:rsidRDefault="00E406BE">
          <w:pPr>
            <w:pStyle w:val="TOC3"/>
            <w:tabs>
              <w:tab w:val="right" w:leader="dot" w:pos="9350"/>
            </w:tabs>
            <w:rPr>
              <w:rFonts w:ascii="Arial" w:eastAsiaTheme="minorEastAsia" w:hAnsi="Arial" w:cs="Arial"/>
              <w:noProof/>
              <w:kern w:val="2"/>
              <w:sz w:val="28"/>
              <w:szCs w:val="28"/>
              <w14:ligatures w14:val="standardContextual"/>
            </w:rPr>
          </w:pPr>
          <w:hyperlink w:anchor="_Toc243923409" w:history="1">
            <w:r w:rsidRPr="00E406BE">
              <w:rPr>
                <w:rStyle w:val="Hyperlink"/>
                <w:rFonts w:ascii="Arial" w:hAnsi="Arial" w:cs="Arial"/>
                <w:noProof/>
                <w:sz w:val="28"/>
                <w:szCs w:val="28"/>
              </w:rPr>
              <w:t>Data Collection and Audit Procedures</w:t>
            </w:r>
            <w:r w:rsidRPr="00E406BE">
              <w:rPr>
                <w:rFonts w:ascii="Arial" w:hAnsi="Arial" w:cs="Arial"/>
                <w:noProof/>
                <w:webHidden/>
                <w:sz w:val="28"/>
                <w:szCs w:val="28"/>
              </w:rPr>
              <w:tab/>
            </w:r>
            <w:r w:rsidRPr="00E406BE">
              <w:rPr>
                <w:rFonts w:ascii="Arial" w:hAnsi="Arial" w:cs="Arial"/>
                <w:noProof/>
                <w:webHidden/>
                <w:sz w:val="28"/>
                <w:szCs w:val="28"/>
              </w:rPr>
              <w:fldChar w:fldCharType="begin"/>
            </w:r>
            <w:r w:rsidRPr="00E406BE">
              <w:rPr>
                <w:rFonts w:ascii="Arial" w:hAnsi="Arial" w:cs="Arial"/>
                <w:noProof/>
                <w:webHidden/>
                <w:sz w:val="28"/>
                <w:szCs w:val="28"/>
              </w:rPr>
              <w:instrText xml:space="preserve"> PAGEREF _Toc243923409 \h </w:instrText>
            </w:r>
            <w:r w:rsidRPr="00E406BE">
              <w:rPr>
                <w:rFonts w:ascii="Arial" w:hAnsi="Arial" w:cs="Arial"/>
                <w:noProof/>
                <w:webHidden/>
                <w:sz w:val="28"/>
                <w:szCs w:val="28"/>
              </w:rPr>
            </w:r>
            <w:r w:rsidRPr="00E406BE">
              <w:rPr>
                <w:rFonts w:ascii="Arial" w:hAnsi="Arial" w:cs="Arial"/>
                <w:noProof/>
                <w:webHidden/>
                <w:sz w:val="28"/>
                <w:szCs w:val="28"/>
              </w:rPr>
              <w:fldChar w:fldCharType="separate"/>
            </w:r>
            <w:r w:rsidRPr="00E406BE">
              <w:rPr>
                <w:rFonts w:ascii="Arial" w:hAnsi="Arial" w:cs="Arial"/>
                <w:noProof/>
                <w:webHidden/>
                <w:sz w:val="28"/>
                <w:szCs w:val="28"/>
              </w:rPr>
              <w:t>54</w:t>
            </w:r>
            <w:r w:rsidRPr="00E406BE">
              <w:rPr>
                <w:rFonts w:ascii="Arial" w:hAnsi="Arial" w:cs="Arial"/>
                <w:noProof/>
                <w:webHidden/>
                <w:sz w:val="28"/>
                <w:szCs w:val="28"/>
              </w:rPr>
              <w:fldChar w:fldCharType="end"/>
            </w:r>
          </w:hyperlink>
        </w:p>
        <w:p w14:paraId="6A833095" w14:textId="38D07B92" w:rsidR="00E406BE" w:rsidRPr="00E406BE" w:rsidRDefault="00E406BE">
          <w:pPr>
            <w:pStyle w:val="TOC3"/>
            <w:tabs>
              <w:tab w:val="right" w:leader="dot" w:pos="9350"/>
            </w:tabs>
            <w:rPr>
              <w:rFonts w:ascii="Arial" w:eastAsiaTheme="minorEastAsia" w:hAnsi="Arial" w:cs="Arial"/>
              <w:noProof/>
              <w:kern w:val="2"/>
              <w:sz w:val="28"/>
              <w:szCs w:val="28"/>
              <w14:ligatures w14:val="standardContextual"/>
            </w:rPr>
          </w:pPr>
          <w:hyperlink w:anchor="_Toc243923410" w:history="1">
            <w:r w:rsidRPr="00E406BE">
              <w:rPr>
                <w:rStyle w:val="Hyperlink"/>
                <w:rFonts w:ascii="Arial" w:hAnsi="Arial" w:cs="Arial"/>
                <w:noProof/>
                <w:sz w:val="28"/>
                <w:szCs w:val="28"/>
              </w:rPr>
              <w:t>Data Cleaning, Validation, and Analytical Approach</w:t>
            </w:r>
            <w:r w:rsidRPr="00E406BE">
              <w:rPr>
                <w:rFonts w:ascii="Arial" w:hAnsi="Arial" w:cs="Arial"/>
                <w:noProof/>
                <w:webHidden/>
                <w:sz w:val="28"/>
                <w:szCs w:val="28"/>
              </w:rPr>
              <w:tab/>
            </w:r>
            <w:r w:rsidRPr="00E406BE">
              <w:rPr>
                <w:rFonts w:ascii="Arial" w:hAnsi="Arial" w:cs="Arial"/>
                <w:noProof/>
                <w:webHidden/>
                <w:sz w:val="28"/>
                <w:szCs w:val="28"/>
              </w:rPr>
              <w:fldChar w:fldCharType="begin"/>
            </w:r>
            <w:r w:rsidRPr="00E406BE">
              <w:rPr>
                <w:rFonts w:ascii="Arial" w:hAnsi="Arial" w:cs="Arial"/>
                <w:noProof/>
                <w:webHidden/>
                <w:sz w:val="28"/>
                <w:szCs w:val="28"/>
              </w:rPr>
              <w:instrText xml:space="preserve"> PAGEREF _Toc243923410 \h </w:instrText>
            </w:r>
            <w:r w:rsidRPr="00E406BE">
              <w:rPr>
                <w:rFonts w:ascii="Arial" w:hAnsi="Arial" w:cs="Arial"/>
                <w:noProof/>
                <w:webHidden/>
                <w:sz w:val="28"/>
                <w:szCs w:val="28"/>
              </w:rPr>
            </w:r>
            <w:r w:rsidRPr="00E406BE">
              <w:rPr>
                <w:rFonts w:ascii="Arial" w:hAnsi="Arial" w:cs="Arial"/>
                <w:noProof/>
                <w:webHidden/>
                <w:sz w:val="28"/>
                <w:szCs w:val="28"/>
              </w:rPr>
              <w:fldChar w:fldCharType="separate"/>
            </w:r>
            <w:r w:rsidRPr="00E406BE">
              <w:rPr>
                <w:rFonts w:ascii="Arial" w:hAnsi="Arial" w:cs="Arial"/>
                <w:noProof/>
                <w:webHidden/>
                <w:sz w:val="28"/>
                <w:szCs w:val="28"/>
              </w:rPr>
              <w:t>55</w:t>
            </w:r>
            <w:r w:rsidRPr="00E406BE">
              <w:rPr>
                <w:rFonts w:ascii="Arial" w:hAnsi="Arial" w:cs="Arial"/>
                <w:noProof/>
                <w:webHidden/>
                <w:sz w:val="28"/>
                <w:szCs w:val="28"/>
              </w:rPr>
              <w:fldChar w:fldCharType="end"/>
            </w:r>
          </w:hyperlink>
        </w:p>
        <w:p w14:paraId="45EBB845" w14:textId="685B0041" w:rsidR="00E406BE" w:rsidRPr="00E406BE" w:rsidRDefault="00E406BE">
          <w:pPr>
            <w:pStyle w:val="TOC3"/>
            <w:tabs>
              <w:tab w:val="right" w:leader="dot" w:pos="9350"/>
            </w:tabs>
            <w:rPr>
              <w:rFonts w:ascii="Arial" w:eastAsiaTheme="minorEastAsia" w:hAnsi="Arial" w:cs="Arial"/>
              <w:noProof/>
              <w:kern w:val="2"/>
              <w:sz w:val="28"/>
              <w:szCs w:val="28"/>
              <w14:ligatures w14:val="standardContextual"/>
            </w:rPr>
          </w:pPr>
          <w:hyperlink w:anchor="_Toc243923411" w:history="1">
            <w:r w:rsidRPr="00E406BE">
              <w:rPr>
                <w:rStyle w:val="Hyperlink"/>
                <w:rFonts w:ascii="Arial" w:hAnsi="Arial" w:cs="Arial"/>
                <w:noProof/>
                <w:sz w:val="28"/>
                <w:szCs w:val="28"/>
              </w:rPr>
              <w:t>Key Findings</w:t>
            </w:r>
            <w:r w:rsidRPr="00E406BE">
              <w:rPr>
                <w:rFonts w:ascii="Arial" w:hAnsi="Arial" w:cs="Arial"/>
                <w:noProof/>
                <w:webHidden/>
                <w:sz w:val="28"/>
                <w:szCs w:val="28"/>
              </w:rPr>
              <w:tab/>
            </w:r>
            <w:r w:rsidRPr="00E406BE">
              <w:rPr>
                <w:rFonts w:ascii="Arial" w:hAnsi="Arial" w:cs="Arial"/>
                <w:noProof/>
                <w:webHidden/>
                <w:sz w:val="28"/>
                <w:szCs w:val="28"/>
              </w:rPr>
              <w:fldChar w:fldCharType="begin"/>
            </w:r>
            <w:r w:rsidRPr="00E406BE">
              <w:rPr>
                <w:rFonts w:ascii="Arial" w:hAnsi="Arial" w:cs="Arial"/>
                <w:noProof/>
                <w:webHidden/>
                <w:sz w:val="28"/>
                <w:szCs w:val="28"/>
              </w:rPr>
              <w:instrText xml:space="preserve"> PAGEREF _Toc243923411 \h </w:instrText>
            </w:r>
            <w:r w:rsidRPr="00E406BE">
              <w:rPr>
                <w:rFonts w:ascii="Arial" w:hAnsi="Arial" w:cs="Arial"/>
                <w:noProof/>
                <w:webHidden/>
                <w:sz w:val="28"/>
                <w:szCs w:val="28"/>
              </w:rPr>
            </w:r>
            <w:r w:rsidRPr="00E406BE">
              <w:rPr>
                <w:rFonts w:ascii="Arial" w:hAnsi="Arial" w:cs="Arial"/>
                <w:noProof/>
                <w:webHidden/>
                <w:sz w:val="28"/>
                <w:szCs w:val="28"/>
              </w:rPr>
              <w:fldChar w:fldCharType="separate"/>
            </w:r>
            <w:r w:rsidRPr="00E406BE">
              <w:rPr>
                <w:rFonts w:ascii="Arial" w:hAnsi="Arial" w:cs="Arial"/>
                <w:noProof/>
                <w:webHidden/>
                <w:sz w:val="28"/>
                <w:szCs w:val="28"/>
              </w:rPr>
              <w:t>56</w:t>
            </w:r>
            <w:r w:rsidRPr="00E406BE">
              <w:rPr>
                <w:rFonts w:ascii="Arial" w:hAnsi="Arial" w:cs="Arial"/>
                <w:noProof/>
                <w:webHidden/>
                <w:sz w:val="28"/>
                <w:szCs w:val="28"/>
              </w:rPr>
              <w:fldChar w:fldCharType="end"/>
            </w:r>
          </w:hyperlink>
        </w:p>
        <w:p w14:paraId="7F08F75E" w14:textId="6FDBD903" w:rsidR="00E406BE" w:rsidRPr="00E406BE" w:rsidRDefault="00E406BE">
          <w:pPr>
            <w:pStyle w:val="TOC3"/>
            <w:tabs>
              <w:tab w:val="right" w:leader="dot" w:pos="9350"/>
            </w:tabs>
            <w:rPr>
              <w:rFonts w:ascii="Arial" w:eastAsiaTheme="minorEastAsia" w:hAnsi="Arial" w:cs="Arial"/>
              <w:noProof/>
              <w:kern w:val="2"/>
              <w:sz w:val="28"/>
              <w:szCs w:val="28"/>
              <w14:ligatures w14:val="standardContextual"/>
            </w:rPr>
          </w:pPr>
          <w:hyperlink w:anchor="_Toc243923412" w:history="1">
            <w:r w:rsidRPr="00E406BE">
              <w:rPr>
                <w:rStyle w:val="Hyperlink"/>
                <w:rFonts w:ascii="Arial" w:hAnsi="Arial" w:cs="Arial"/>
                <w:noProof/>
                <w:sz w:val="28"/>
                <w:szCs w:val="28"/>
              </w:rPr>
              <w:t>Organizational Signaling Interpretation (Accessibility vs. Diversity, Equity and Inclusion Framing)</w:t>
            </w:r>
            <w:r w:rsidRPr="00E406BE">
              <w:rPr>
                <w:rFonts w:ascii="Arial" w:hAnsi="Arial" w:cs="Arial"/>
                <w:noProof/>
                <w:webHidden/>
                <w:sz w:val="28"/>
                <w:szCs w:val="28"/>
              </w:rPr>
              <w:tab/>
            </w:r>
            <w:r w:rsidRPr="00E406BE">
              <w:rPr>
                <w:rFonts w:ascii="Arial" w:hAnsi="Arial" w:cs="Arial"/>
                <w:noProof/>
                <w:webHidden/>
                <w:sz w:val="28"/>
                <w:szCs w:val="28"/>
              </w:rPr>
              <w:fldChar w:fldCharType="begin"/>
            </w:r>
            <w:r w:rsidRPr="00E406BE">
              <w:rPr>
                <w:rFonts w:ascii="Arial" w:hAnsi="Arial" w:cs="Arial"/>
                <w:noProof/>
                <w:webHidden/>
                <w:sz w:val="28"/>
                <w:szCs w:val="28"/>
              </w:rPr>
              <w:instrText xml:space="preserve"> PAGEREF _Toc243923412 \h </w:instrText>
            </w:r>
            <w:r w:rsidRPr="00E406BE">
              <w:rPr>
                <w:rFonts w:ascii="Arial" w:hAnsi="Arial" w:cs="Arial"/>
                <w:noProof/>
                <w:webHidden/>
                <w:sz w:val="28"/>
                <w:szCs w:val="28"/>
              </w:rPr>
            </w:r>
            <w:r w:rsidRPr="00E406BE">
              <w:rPr>
                <w:rFonts w:ascii="Arial" w:hAnsi="Arial" w:cs="Arial"/>
                <w:noProof/>
                <w:webHidden/>
                <w:sz w:val="28"/>
                <w:szCs w:val="28"/>
              </w:rPr>
              <w:fldChar w:fldCharType="separate"/>
            </w:r>
            <w:r w:rsidRPr="00E406BE">
              <w:rPr>
                <w:rFonts w:ascii="Arial" w:hAnsi="Arial" w:cs="Arial"/>
                <w:noProof/>
                <w:webHidden/>
                <w:sz w:val="28"/>
                <w:szCs w:val="28"/>
              </w:rPr>
              <w:t>67</w:t>
            </w:r>
            <w:r w:rsidRPr="00E406BE">
              <w:rPr>
                <w:rFonts w:ascii="Arial" w:hAnsi="Arial" w:cs="Arial"/>
                <w:noProof/>
                <w:webHidden/>
                <w:sz w:val="28"/>
                <w:szCs w:val="28"/>
              </w:rPr>
              <w:fldChar w:fldCharType="end"/>
            </w:r>
          </w:hyperlink>
        </w:p>
        <w:p w14:paraId="1606DC38" w14:textId="73DA254A" w:rsidR="00E406BE" w:rsidRPr="00E406BE" w:rsidRDefault="00E406BE">
          <w:pPr>
            <w:pStyle w:val="TOC3"/>
            <w:tabs>
              <w:tab w:val="right" w:leader="dot" w:pos="9350"/>
            </w:tabs>
            <w:rPr>
              <w:rFonts w:ascii="Arial" w:eastAsiaTheme="minorEastAsia" w:hAnsi="Arial" w:cs="Arial"/>
              <w:noProof/>
              <w:kern w:val="2"/>
              <w:sz w:val="28"/>
              <w:szCs w:val="28"/>
              <w14:ligatures w14:val="standardContextual"/>
            </w:rPr>
          </w:pPr>
          <w:hyperlink w:anchor="_Toc243923413" w:history="1">
            <w:r w:rsidRPr="00E406BE">
              <w:rPr>
                <w:rStyle w:val="Hyperlink"/>
                <w:rFonts w:ascii="Arial" w:hAnsi="Arial" w:cs="Arial"/>
                <w:noProof/>
                <w:sz w:val="28"/>
                <w:szCs w:val="28"/>
              </w:rPr>
              <w:t>Limitations</w:t>
            </w:r>
            <w:r w:rsidRPr="00E406BE">
              <w:rPr>
                <w:rFonts w:ascii="Arial" w:hAnsi="Arial" w:cs="Arial"/>
                <w:noProof/>
                <w:webHidden/>
                <w:sz w:val="28"/>
                <w:szCs w:val="28"/>
              </w:rPr>
              <w:tab/>
            </w:r>
            <w:r w:rsidRPr="00E406BE">
              <w:rPr>
                <w:rFonts w:ascii="Arial" w:hAnsi="Arial" w:cs="Arial"/>
                <w:noProof/>
                <w:webHidden/>
                <w:sz w:val="28"/>
                <w:szCs w:val="28"/>
              </w:rPr>
              <w:fldChar w:fldCharType="begin"/>
            </w:r>
            <w:r w:rsidRPr="00E406BE">
              <w:rPr>
                <w:rFonts w:ascii="Arial" w:hAnsi="Arial" w:cs="Arial"/>
                <w:noProof/>
                <w:webHidden/>
                <w:sz w:val="28"/>
                <w:szCs w:val="28"/>
              </w:rPr>
              <w:instrText xml:space="preserve"> PAGEREF _Toc243923413 \h </w:instrText>
            </w:r>
            <w:r w:rsidRPr="00E406BE">
              <w:rPr>
                <w:rFonts w:ascii="Arial" w:hAnsi="Arial" w:cs="Arial"/>
                <w:noProof/>
                <w:webHidden/>
                <w:sz w:val="28"/>
                <w:szCs w:val="28"/>
              </w:rPr>
            </w:r>
            <w:r w:rsidRPr="00E406BE">
              <w:rPr>
                <w:rFonts w:ascii="Arial" w:hAnsi="Arial" w:cs="Arial"/>
                <w:noProof/>
                <w:webHidden/>
                <w:sz w:val="28"/>
                <w:szCs w:val="28"/>
              </w:rPr>
              <w:fldChar w:fldCharType="separate"/>
            </w:r>
            <w:r w:rsidRPr="00E406BE">
              <w:rPr>
                <w:rFonts w:ascii="Arial" w:hAnsi="Arial" w:cs="Arial"/>
                <w:noProof/>
                <w:webHidden/>
                <w:sz w:val="28"/>
                <w:szCs w:val="28"/>
              </w:rPr>
              <w:t>70</w:t>
            </w:r>
            <w:r w:rsidRPr="00E406BE">
              <w:rPr>
                <w:rFonts w:ascii="Arial" w:hAnsi="Arial" w:cs="Arial"/>
                <w:noProof/>
                <w:webHidden/>
                <w:sz w:val="28"/>
                <w:szCs w:val="28"/>
              </w:rPr>
              <w:fldChar w:fldCharType="end"/>
            </w:r>
          </w:hyperlink>
        </w:p>
        <w:p w14:paraId="203B089E" w14:textId="22AD7E5E" w:rsidR="00E406BE" w:rsidRPr="00E406BE" w:rsidRDefault="00E406BE">
          <w:pPr>
            <w:pStyle w:val="TOC3"/>
            <w:tabs>
              <w:tab w:val="right" w:leader="dot" w:pos="9350"/>
            </w:tabs>
            <w:rPr>
              <w:rFonts w:ascii="Arial" w:eastAsiaTheme="minorEastAsia" w:hAnsi="Arial" w:cs="Arial"/>
              <w:noProof/>
              <w:kern w:val="2"/>
              <w:sz w:val="28"/>
              <w:szCs w:val="28"/>
              <w14:ligatures w14:val="standardContextual"/>
            </w:rPr>
          </w:pPr>
          <w:hyperlink w:anchor="_Toc243923414" w:history="1">
            <w:r w:rsidRPr="00E406BE">
              <w:rPr>
                <w:rStyle w:val="Hyperlink"/>
                <w:rFonts w:ascii="Arial" w:hAnsi="Arial" w:cs="Arial"/>
                <w:noProof/>
                <w:sz w:val="28"/>
                <w:szCs w:val="28"/>
              </w:rPr>
              <w:t>Acknowledgements</w:t>
            </w:r>
            <w:r w:rsidRPr="00E406BE">
              <w:rPr>
                <w:rFonts w:ascii="Arial" w:hAnsi="Arial" w:cs="Arial"/>
                <w:noProof/>
                <w:webHidden/>
                <w:sz w:val="28"/>
                <w:szCs w:val="28"/>
              </w:rPr>
              <w:tab/>
            </w:r>
            <w:r w:rsidRPr="00E406BE">
              <w:rPr>
                <w:rFonts w:ascii="Arial" w:hAnsi="Arial" w:cs="Arial"/>
                <w:noProof/>
                <w:webHidden/>
                <w:sz w:val="28"/>
                <w:szCs w:val="28"/>
              </w:rPr>
              <w:fldChar w:fldCharType="begin"/>
            </w:r>
            <w:r w:rsidRPr="00E406BE">
              <w:rPr>
                <w:rFonts w:ascii="Arial" w:hAnsi="Arial" w:cs="Arial"/>
                <w:noProof/>
                <w:webHidden/>
                <w:sz w:val="28"/>
                <w:szCs w:val="28"/>
              </w:rPr>
              <w:instrText xml:space="preserve"> PAGEREF _Toc243923414 \h </w:instrText>
            </w:r>
            <w:r w:rsidRPr="00E406BE">
              <w:rPr>
                <w:rFonts w:ascii="Arial" w:hAnsi="Arial" w:cs="Arial"/>
                <w:noProof/>
                <w:webHidden/>
                <w:sz w:val="28"/>
                <w:szCs w:val="28"/>
              </w:rPr>
            </w:r>
            <w:r w:rsidRPr="00E406BE">
              <w:rPr>
                <w:rFonts w:ascii="Arial" w:hAnsi="Arial" w:cs="Arial"/>
                <w:noProof/>
                <w:webHidden/>
                <w:sz w:val="28"/>
                <w:szCs w:val="28"/>
              </w:rPr>
              <w:fldChar w:fldCharType="separate"/>
            </w:r>
            <w:r w:rsidRPr="00E406BE">
              <w:rPr>
                <w:rFonts w:ascii="Arial" w:hAnsi="Arial" w:cs="Arial"/>
                <w:noProof/>
                <w:webHidden/>
                <w:sz w:val="28"/>
                <w:szCs w:val="28"/>
              </w:rPr>
              <w:t>73</w:t>
            </w:r>
            <w:r w:rsidRPr="00E406BE">
              <w:rPr>
                <w:rFonts w:ascii="Arial" w:hAnsi="Arial" w:cs="Arial"/>
                <w:noProof/>
                <w:webHidden/>
                <w:sz w:val="28"/>
                <w:szCs w:val="28"/>
              </w:rPr>
              <w:fldChar w:fldCharType="end"/>
            </w:r>
          </w:hyperlink>
        </w:p>
        <w:p w14:paraId="13C658B0" w14:textId="42DC3D4D" w:rsidR="00E406BE" w:rsidRPr="00E406BE" w:rsidRDefault="00E406BE">
          <w:pPr>
            <w:pStyle w:val="TOC3"/>
            <w:tabs>
              <w:tab w:val="right" w:leader="dot" w:pos="9350"/>
            </w:tabs>
            <w:rPr>
              <w:rFonts w:ascii="Arial" w:eastAsiaTheme="minorEastAsia" w:hAnsi="Arial" w:cs="Arial"/>
              <w:noProof/>
              <w:kern w:val="2"/>
              <w:sz w:val="28"/>
              <w:szCs w:val="28"/>
              <w14:ligatures w14:val="standardContextual"/>
            </w:rPr>
          </w:pPr>
          <w:hyperlink w:anchor="_Toc243923415" w:history="1">
            <w:r w:rsidRPr="00E406BE">
              <w:rPr>
                <w:rStyle w:val="Hyperlink"/>
                <w:rFonts w:ascii="Arial" w:hAnsi="Arial" w:cs="Arial"/>
                <w:noProof/>
                <w:sz w:val="28"/>
                <w:szCs w:val="28"/>
              </w:rPr>
              <w:t>Appendix (Available Upon Request)</w:t>
            </w:r>
            <w:r w:rsidRPr="00E406BE">
              <w:rPr>
                <w:rFonts w:ascii="Arial" w:hAnsi="Arial" w:cs="Arial"/>
                <w:noProof/>
                <w:webHidden/>
                <w:sz w:val="28"/>
                <w:szCs w:val="28"/>
              </w:rPr>
              <w:tab/>
            </w:r>
            <w:r w:rsidRPr="00E406BE">
              <w:rPr>
                <w:rFonts w:ascii="Arial" w:hAnsi="Arial" w:cs="Arial"/>
                <w:noProof/>
                <w:webHidden/>
                <w:sz w:val="28"/>
                <w:szCs w:val="28"/>
              </w:rPr>
              <w:fldChar w:fldCharType="begin"/>
            </w:r>
            <w:r w:rsidRPr="00E406BE">
              <w:rPr>
                <w:rFonts w:ascii="Arial" w:hAnsi="Arial" w:cs="Arial"/>
                <w:noProof/>
                <w:webHidden/>
                <w:sz w:val="28"/>
                <w:szCs w:val="28"/>
              </w:rPr>
              <w:instrText xml:space="preserve"> PAGEREF _Toc243923415 \h </w:instrText>
            </w:r>
            <w:r w:rsidRPr="00E406BE">
              <w:rPr>
                <w:rFonts w:ascii="Arial" w:hAnsi="Arial" w:cs="Arial"/>
                <w:noProof/>
                <w:webHidden/>
                <w:sz w:val="28"/>
                <w:szCs w:val="28"/>
              </w:rPr>
            </w:r>
            <w:r w:rsidRPr="00E406BE">
              <w:rPr>
                <w:rFonts w:ascii="Arial" w:hAnsi="Arial" w:cs="Arial"/>
                <w:noProof/>
                <w:webHidden/>
                <w:sz w:val="28"/>
                <w:szCs w:val="28"/>
              </w:rPr>
              <w:fldChar w:fldCharType="separate"/>
            </w:r>
            <w:r w:rsidRPr="00E406BE">
              <w:rPr>
                <w:rFonts w:ascii="Arial" w:hAnsi="Arial" w:cs="Arial"/>
                <w:noProof/>
                <w:webHidden/>
                <w:sz w:val="28"/>
                <w:szCs w:val="28"/>
              </w:rPr>
              <w:t>74</w:t>
            </w:r>
            <w:r w:rsidRPr="00E406BE">
              <w:rPr>
                <w:rFonts w:ascii="Arial" w:hAnsi="Arial" w:cs="Arial"/>
                <w:noProof/>
                <w:webHidden/>
                <w:sz w:val="28"/>
                <w:szCs w:val="28"/>
              </w:rPr>
              <w:fldChar w:fldCharType="end"/>
            </w:r>
          </w:hyperlink>
        </w:p>
        <w:p w14:paraId="3B450FC2" w14:textId="2DA60E1D" w:rsidR="00E406BE" w:rsidRPr="00E406BE" w:rsidRDefault="00E406BE">
          <w:pPr>
            <w:pStyle w:val="TOC2"/>
            <w:tabs>
              <w:tab w:val="right" w:leader="dot" w:pos="9350"/>
            </w:tabs>
            <w:rPr>
              <w:rFonts w:ascii="Arial" w:eastAsiaTheme="minorEastAsia" w:hAnsi="Arial" w:cs="Arial"/>
              <w:noProof/>
              <w:kern w:val="2"/>
              <w:sz w:val="28"/>
              <w:szCs w:val="28"/>
              <w14:ligatures w14:val="standardContextual"/>
            </w:rPr>
          </w:pPr>
          <w:hyperlink w:anchor="_Toc243923416" w:history="1">
            <w:r w:rsidRPr="00E406BE">
              <w:rPr>
                <w:rStyle w:val="Hyperlink"/>
                <w:rFonts w:ascii="Arial" w:hAnsi="Arial" w:cs="Arial"/>
                <w:noProof/>
                <w:sz w:val="28"/>
                <w:szCs w:val="28"/>
              </w:rPr>
              <w:t>Chapter 4. Developing an Accessibility Competency Framework through Iterative Co-Design</w:t>
            </w:r>
            <w:r w:rsidRPr="00E406BE">
              <w:rPr>
                <w:rFonts w:ascii="Arial" w:hAnsi="Arial" w:cs="Arial"/>
                <w:noProof/>
                <w:webHidden/>
                <w:sz w:val="28"/>
                <w:szCs w:val="28"/>
              </w:rPr>
              <w:tab/>
            </w:r>
            <w:r w:rsidRPr="00E406BE">
              <w:rPr>
                <w:rFonts w:ascii="Arial" w:hAnsi="Arial" w:cs="Arial"/>
                <w:noProof/>
                <w:webHidden/>
                <w:sz w:val="28"/>
                <w:szCs w:val="28"/>
              </w:rPr>
              <w:fldChar w:fldCharType="begin"/>
            </w:r>
            <w:r w:rsidRPr="00E406BE">
              <w:rPr>
                <w:rFonts w:ascii="Arial" w:hAnsi="Arial" w:cs="Arial"/>
                <w:noProof/>
                <w:webHidden/>
                <w:sz w:val="28"/>
                <w:szCs w:val="28"/>
              </w:rPr>
              <w:instrText xml:space="preserve"> PAGEREF _Toc243923416 \h </w:instrText>
            </w:r>
            <w:r w:rsidRPr="00E406BE">
              <w:rPr>
                <w:rFonts w:ascii="Arial" w:hAnsi="Arial" w:cs="Arial"/>
                <w:noProof/>
                <w:webHidden/>
                <w:sz w:val="28"/>
                <w:szCs w:val="28"/>
              </w:rPr>
            </w:r>
            <w:r w:rsidRPr="00E406BE">
              <w:rPr>
                <w:rFonts w:ascii="Arial" w:hAnsi="Arial" w:cs="Arial"/>
                <w:noProof/>
                <w:webHidden/>
                <w:sz w:val="28"/>
                <w:szCs w:val="28"/>
              </w:rPr>
              <w:fldChar w:fldCharType="separate"/>
            </w:r>
            <w:r w:rsidRPr="00E406BE">
              <w:rPr>
                <w:rFonts w:ascii="Arial" w:hAnsi="Arial" w:cs="Arial"/>
                <w:noProof/>
                <w:webHidden/>
                <w:sz w:val="28"/>
                <w:szCs w:val="28"/>
              </w:rPr>
              <w:t>75</w:t>
            </w:r>
            <w:r w:rsidRPr="00E406BE">
              <w:rPr>
                <w:rFonts w:ascii="Arial" w:hAnsi="Arial" w:cs="Arial"/>
                <w:noProof/>
                <w:webHidden/>
                <w:sz w:val="28"/>
                <w:szCs w:val="28"/>
              </w:rPr>
              <w:fldChar w:fldCharType="end"/>
            </w:r>
          </w:hyperlink>
        </w:p>
        <w:p w14:paraId="637A6BAD" w14:textId="5E0D6D19" w:rsidR="00E406BE" w:rsidRPr="00E406BE" w:rsidRDefault="00E406BE">
          <w:pPr>
            <w:pStyle w:val="TOC3"/>
            <w:tabs>
              <w:tab w:val="right" w:leader="dot" w:pos="9350"/>
            </w:tabs>
            <w:rPr>
              <w:rFonts w:ascii="Arial" w:eastAsiaTheme="minorEastAsia" w:hAnsi="Arial" w:cs="Arial"/>
              <w:noProof/>
              <w:kern w:val="2"/>
              <w:sz w:val="28"/>
              <w:szCs w:val="28"/>
              <w14:ligatures w14:val="standardContextual"/>
            </w:rPr>
          </w:pPr>
          <w:hyperlink w:anchor="_Toc243923417" w:history="1">
            <w:r w:rsidRPr="00E406BE">
              <w:rPr>
                <w:rStyle w:val="Hyperlink"/>
                <w:rFonts w:ascii="Arial" w:hAnsi="Arial" w:cs="Arial"/>
                <w:noProof/>
                <w:sz w:val="28"/>
                <w:szCs w:val="28"/>
              </w:rPr>
              <w:t>Introduction</w:t>
            </w:r>
            <w:r w:rsidRPr="00E406BE">
              <w:rPr>
                <w:rFonts w:ascii="Arial" w:hAnsi="Arial" w:cs="Arial"/>
                <w:noProof/>
                <w:webHidden/>
                <w:sz w:val="28"/>
                <w:szCs w:val="28"/>
              </w:rPr>
              <w:tab/>
            </w:r>
            <w:r w:rsidRPr="00E406BE">
              <w:rPr>
                <w:rFonts w:ascii="Arial" w:hAnsi="Arial" w:cs="Arial"/>
                <w:noProof/>
                <w:webHidden/>
                <w:sz w:val="28"/>
                <w:szCs w:val="28"/>
              </w:rPr>
              <w:fldChar w:fldCharType="begin"/>
            </w:r>
            <w:r w:rsidRPr="00E406BE">
              <w:rPr>
                <w:rFonts w:ascii="Arial" w:hAnsi="Arial" w:cs="Arial"/>
                <w:noProof/>
                <w:webHidden/>
                <w:sz w:val="28"/>
                <w:szCs w:val="28"/>
              </w:rPr>
              <w:instrText xml:space="preserve"> PAGEREF _Toc243923417 \h </w:instrText>
            </w:r>
            <w:r w:rsidRPr="00E406BE">
              <w:rPr>
                <w:rFonts w:ascii="Arial" w:hAnsi="Arial" w:cs="Arial"/>
                <w:noProof/>
                <w:webHidden/>
                <w:sz w:val="28"/>
                <w:szCs w:val="28"/>
              </w:rPr>
            </w:r>
            <w:r w:rsidRPr="00E406BE">
              <w:rPr>
                <w:rFonts w:ascii="Arial" w:hAnsi="Arial" w:cs="Arial"/>
                <w:noProof/>
                <w:webHidden/>
                <w:sz w:val="28"/>
                <w:szCs w:val="28"/>
              </w:rPr>
              <w:fldChar w:fldCharType="separate"/>
            </w:r>
            <w:r w:rsidRPr="00E406BE">
              <w:rPr>
                <w:rFonts w:ascii="Arial" w:hAnsi="Arial" w:cs="Arial"/>
                <w:noProof/>
                <w:webHidden/>
                <w:sz w:val="28"/>
                <w:szCs w:val="28"/>
              </w:rPr>
              <w:t>75</w:t>
            </w:r>
            <w:r w:rsidRPr="00E406BE">
              <w:rPr>
                <w:rFonts w:ascii="Arial" w:hAnsi="Arial" w:cs="Arial"/>
                <w:noProof/>
                <w:webHidden/>
                <w:sz w:val="28"/>
                <w:szCs w:val="28"/>
              </w:rPr>
              <w:fldChar w:fldCharType="end"/>
            </w:r>
          </w:hyperlink>
        </w:p>
        <w:p w14:paraId="6A81C2C2" w14:textId="00098B86" w:rsidR="00E406BE" w:rsidRPr="00E406BE" w:rsidRDefault="00E406BE">
          <w:pPr>
            <w:pStyle w:val="TOC3"/>
            <w:tabs>
              <w:tab w:val="right" w:leader="dot" w:pos="9350"/>
            </w:tabs>
            <w:rPr>
              <w:rFonts w:ascii="Arial" w:eastAsiaTheme="minorEastAsia" w:hAnsi="Arial" w:cs="Arial"/>
              <w:noProof/>
              <w:kern w:val="2"/>
              <w:sz w:val="28"/>
              <w:szCs w:val="28"/>
              <w14:ligatures w14:val="standardContextual"/>
            </w:rPr>
          </w:pPr>
          <w:hyperlink w:anchor="_Toc243923418" w:history="1">
            <w:r w:rsidRPr="00E406BE">
              <w:rPr>
                <w:rStyle w:val="Hyperlink"/>
                <w:rFonts w:ascii="Arial" w:hAnsi="Arial" w:cs="Arial"/>
                <w:noProof/>
                <w:sz w:val="28"/>
                <w:szCs w:val="28"/>
              </w:rPr>
              <w:t>Conceptual Foundations</w:t>
            </w:r>
            <w:r w:rsidRPr="00E406BE">
              <w:rPr>
                <w:rFonts w:ascii="Arial" w:hAnsi="Arial" w:cs="Arial"/>
                <w:noProof/>
                <w:webHidden/>
                <w:sz w:val="28"/>
                <w:szCs w:val="28"/>
              </w:rPr>
              <w:tab/>
            </w:r>
            <w:r w:rsidRPr="00E406BE">
              <w:rPr>
                <w:rFonts w:ascii="Arial" w:hAnsi="Arial" w:cs="Arial"/>
                <w:noProof/>
                <w:webHidden/>
                <w:sz w:val="28"/>
                <w:szCs w:val="28"/>
              </w:rPr>
              <w:fldChar w:fldCharType="begin"/>
            </w:r>
            <w:r w:rsidRPr="00E406BE">
              <w:rPr>
                <w:rFonts w:ascii="Arial" w:hAnsi="Arial" w:cs="Arial"/>
                <w:noProof/>
                <w:webHidden/>
                <w:sz w:val="28"/>
                <w:szCs w:val="28"/>
              </w:rPr>
              <w:instrText xml:space="preserve"> PAGEREF _Toc243923418 \h </w:instrText>
            </w:r>
            <w:r w:rsidRPr="00E406BE">
              <w:rPr>
                <w:rFonts w:ascii="Arial" w:hAnsi="Arial" w:cs="Arial"/>
                <w:noProof/>
                <w:webHidden/>
                <w:sz w:val="28"/>
                <w:szCs w:val="28"/>
              </w:rPr>
            </w:r>
            <w:r w:rsidRPr="00E406BE">
              <w:rPr>
                <w:rFonts w:ascii="Arial" w:hAnsi="Arial" w:cs="Arial"/>
                <w:noProof/>
                <w:webHidden/>
                <w:sz w:val="28"/>
                <w:szCs w:val="28"/>
              </w:rPr>
              <w:fldChar w:fldCharType="separate"/>
            </w:r>
            <w:r w:rsidRPr="00E406BE">
              <w:rPr>
                <w:rFonts w:ascii="Arial" w:hAnsi="Arial" w:cs="Arial"/>
                <w:noProof/>
                <w:webHidden/>
                <w:sz w:val="28"/>
                <w:szCs w:val="28"/>
              </w:rPr>
              <w:t>78</w:t>
            </w:r>
            <w:r w:rsidRPr="00E406BE">
              <w:rPr>
                <w:rFonts w:ascii="Arial" w:hAnsi="Arial" w:cs="Arial"/>
                <w:noProof/>
                <w:webHidden/>
                <w:sz w:val="28"/>
                <w:szCs w:val="28"/>
              </w:rPr>
              <w:fldChar w:fldCharType="end"/>
            </w:r>
          </w:hyperlink>
        </w:p>
        <w:p w14:paraId="0F19706F" w14:textId="1DFC01DC" w:rsidR="00E406BE" w:rsidRPr="00E406BE" w:rsidRDefault="00E406BE">
          <w:pPr>
            <w:pStyle w:val="TOC3"/>
            <w:tabs>
              <w:tab w:val="right" w:leader="dot" w:pos="9350"/>
            </w:tabs>
            <w:rPr>
              <w:rFonts w:ascii="Arial" w:eastAsiaTheme="minorEastAsia" w:hAnsi="Arial" w:cs="Arial"/>
              <w:noProof/>
              <w:kern w:val="2"/>
              <w:sz w:val="28"/>
              <w:szCs w:val="28"/>
              <w14:ligatures w14:val="standardContextual"/>
            </w:rPr>
          </w:pPr>
          <w:hyperlink w:anchor="_Toc243923419" w:history="1">
            <w:r w:rsidRPr="00E406BE">
              <w:rPr>
                <w:rStyle w:val="Hyperlink"/>
                <w:rFonts w:ascii="Arial" w:hAnsi="Arial" w:cs="Arial"/>
                <w:noProof/>
                <w:sz w:val="28"/>
                <w:szCs w:val="28"/>
              </w:rPr>
              <w:t>Methodology</w:t>
            </w:r>
            <w:r w:rsidRPr="00E406BE">
              <w:rPr>
                <w:rFonts w:ascii="Arial" w:hAnsi="Arial" w:cs="Arial"/>
                <w:noProof/>
                <w:webHidden/>
                <w:sz w:val="28"/>
                <w:szCs w:val="28"/>
              </w:rPr>
              <w:tab/>
            </w:r>
            <w:r w:rsidRPr="00E406BE">
              <w:rPr>
                <w:rFonts w:ascii="Arial" w:hAnsi="Arial" w:cs="Arial"/>
                <w:noProof/>
                <w:webHidden/>
                <w:sz w:val="28"/>
                <w:szCs w:val="28"/>
              </w:rPr>
              <w:fldChar w:fldCharType="begin"/>
            </w:r>
            <w:r w:rsidRPr="00E406BE">
              <w:rPr>
                <w:rFonts w:ascii="Arial" w:hAnsi="Arial" w:cs="Arial"/>
                <w:noProof/>
                <w:webHidden/>
                <w:sz w:val="28"/>
                <w:szCs w:val="28"/>
              </w:rPr>
              <w:instrText xml:space="preserve"> PAGEREF _Toc243923419 \h </w:instrText>
            </w:r>
            <w:r w:rsidRPr="00E406BE">
              <w:rPr>
                <w:rFonts w:ascii="Arial" w:hAnsi="Arial" w:cs="Arial"/>
                <w:noProof/>
                <w:webHidden/>
                <w:sz w:val="28"/>
                <w:szCs w:val="28"/>
              </w:rPr>
            </w:r>
            <w:r w:rsidRPr="00E406BE">
              <w:rPr>
                <w:rFonts w:ascii="Arial" w:hAnsi="Arial" w:cs="Arial"/>
                <w:noProof/>
                <w:webHidden/>
                <w:sz w:val="28"/>
                <w:szCs w:val="28"/>
              </w:rPr>
              <w:fldChar w:fldCharType="separate"/>
            </w:r>
            <w:r w:rsidRPr="00E406BE">
              <w:rPr>
                <w:rFonts w:ascii="Arial" w:hAnsi="Arial" w:cs="Arial"/>
                <w:noProof/>
                <w:webHidden/>
                <w:sz w:val="28"/>
                <w:szCs w:val="28"/>
              </w:rPr>
              <w:t>83</w:t>
            </w:r>
            <w:r w:rsidRPr="00E406BE">
              <w:rPr>
                <w:rFonts w:ascii="Arial" w:hAnsi="Arial" w:cs="Arial"/>
                <w:noProof/>
                <w:webHidden/>
                <w:sz w:val="28"/>
                <w:szCs w:val="28"/>
              </w:rPr>
              <w:fldChar w:fldCharType="end"/>
            </w:r>
          </w:hyperlink>
        </w:p>
        <w:p w14:paraId="5DFB11A3" w14:textId="1A59278A" w:rsidR="00E406BE" w:rsidRPr="00E406BE" w:rsidRDefault="00E406BE">
          <w:pPr>
            <w:pStyle w:val="TOC3"/>
            <w:tabs>
              <w:tab w:val="right" w:leader="dot" w:pos="9350"/>
            </w:tabs>
            <w:rPr>
              <w:rFonts w:ascii="Arial" w:eastAsiaTheme="minorEastAsia" w:hAnsi="Arial" w:cs="Arial"/>
              <w:noProof/>
              <w:kern w:val="2"/>
              <w:sz w:val="28"/>
              <w:szCs w:val="28"/>
              <w14:ligatures w14:val="standardContextual"/>
            </w:rPr>
          </w:pPr>
          <w:hyperlink w:anchor="_Toc243923420" w:history="1">
            <w:r w:rsidRPr="00E406BE">
              <w:rPr>
                <w:rStyle w:val="Hyperlink"/>
                <w:rFonts w:ascii="Arial" w:hAnsi="Arial" w:cs="Arial"/>
                <w:noProof/>
                <w:sz w:val="28"/>
                <w:szCs w:val="28"/>
              </w:rPr>
              <w:t>Key Findings from the Co-Design Process</w:t>
            </w:r>
            <w:r w:rsidRPr="00E406BE">
              <w:rPr>
                <w:rFonts w:ascii="Arial" w:hAnsi="Arial" w:cs="Arial"/>
                <w:noProof/>
                <w:webHidden/>
                <w:sz w:val="28"/>
                <w:szCs w:val="28"/>
              </w:rPr>
              <w:tab/>
            </w:r>
            <w:r w:rsidRPr="00E406BE">
              <w:rPr>
                <w:rFonts w:ascii="Arial" w:hAnsi="Arial" w:cs="Arial"/>
                <w:noProof/>
                <w:webHidden/>
                <w:sz w:val="28"/>
                <w:szCs w:val="28"/>
              </w:rPr>
              <w:fldChar w:fldCharType="begin"/>
            </w:r>
            <w:r w:rsidRPr="00E406BE">
              <w:rPr>
                <w:rFonts w:ascii="Arial" w:hAnsi="Arial" w:cs="Arial"/>
                <w:noProof/>
                <w:webHidden/>
                <w:sz w:val="28"/>
                <w:szCs w:val="28"/>
              </w:rPr>
              <w:instrText xml:space="preserve"> PAGEREF _Toc243923420 \h </w:instrText>
            </w:r>
            <w:r w:rsidRPr="00E406BE">
              <w:rPr>
                <w:rFonts w:ascii="Arial" w:hAnsi="Arial" w:cs="Arial"/>
                <w:noProof/>
                <w:webHidden/>
                <w:sz w:val="28"/>
                <w:szCs w:val="28"/>
              </w:rPr>
            </w:r>
            <w:r w:rsidRPr="00E406BE">
              <w:rPr>
                <w:rFonts w:ascii="Arial" w:hAnsi="Arial" w:cs="Arial"/>
                <w:noProof/>
                <w:webHidden/>
                <w:sz w:val="28"/>
                <w:szCs w:val="28"/>
              </w:rPr>
              <w:fldChar w:fldCharType="separate"/>
            </w:r>
            <w:r w:rsidRPr="00E406BE">
              <w:rPr>
                <w:rFonts w:ascii="Arial" w:hAnsi="Arial" w:cs="Arial"/>
                <w:noProof/>
                <w:webHidden/>
                <w:sz w:val="28"/>
                <w:szCs w:val="28"/>
              </w:rPr>
              <w:t>92</w:t>
            </w:r>
            <w:r w:rsidRPr="00E406BE">
              <w:rPr>
                <w:rFonts w:ascii="Arial" w:hAnsi="Arial" w:cs="Arial"/>
                <w:noProof/>
                <w:webHidden/>
                <w:sz w:val="28"/>
                <w:szCs w:val="28"/>
              </w:rPr>
              <w:fldChar w:fldCharType="end"/>
            </w:r>
          </w:hyperlink>
        </w:p>
        <w:p w14:paraId="03E086B7" w14:textId="058EED2F" w:rsidR="00E406BE" w:rsidRPr="00E406BE" w:rsidRDefault="00E406BE">
          <w:pPr>
            <w:pStyle w:val="TOC3"/>
            <w:tabs>
              <w:tab w:val="right" w:leader="dot" w:pos="9350"/>
            </w:tabs>
            <w:rPr>
              <w:rFonts w:ascii="Arial" w:eastAsiaTheme="minorEastAsia" w:hAnsi="Arial" w:cs="Arial"/>
              <w:noProof/>
              <w:kern w:val="2"/>
              <w:sz w:val="28"/>
              <w:szCs w:val="28"/>
              <w14:ligatures w14:val="standardContextual"/>
            </w:rPr>
          </w:pPr>
          <w:hyperlink w:anchor="_Toc243923421" w:history="1">
            <w:r w:rsidRPr="00E406BE">
              <w:rPr>
                <w:rStyle w:val="Hyperlink"/>
                <w:rFonts w:ascii="Arial" w:hAnsi="Arial" w:cs="Arial"/>
                <w:noProof/>
                <w:sz w:val="28"/>
                <w:szCs w:val="28"/>
              </w:rPr>
              <w:t>Analysis of the Pre-Redesign Framework</w:t>
            </w:r>
            <w:r w:rsidRPr="00E406BE">
              <w:rPr>
                <w:rFonts w:ascii="Arial" w:hAnsi="Arial" w:cs="Arial"/>
                <w:noProof/>
                <w:webHidden/>
                <w:sz w:val="28"/>
                <w:szCs w:val="28"/>
              </w:rPr>
              <w:tab/>
            </w:r>
            <w:r w:rsidRPr="00E406BE">
              <w:rPr>
                <w:rFonts w:ascii="Arial" w:hAnsi="Arial" w:cs="Arial"/>
                <w:noProof/>
                <w:webHidden/>
                <w:sz w:val="28"/>
                <w:szCs w:val="28"/>
              </w:rPr>
              <w:fldChar w:fldCharType="begin"/>
            </w:r>
            <w:r w:rsidRPr="00E406BE">
              <w:rPr>
                <w:rFonts w:ascii="Arial" w:hAnsi="Arial" w:cs="Arial"/>
                <w:noProof/>
                <w:webHidden/>
                <w:sz w:val="28"/>
                <w:szCs w:val="28"/>
              </w:rPr>
              <w:instrText xml:space="preserve"> PAGEREF _Toc243923421 \h </w:instrText>
            </w:r>
            <w:r w:rsidRPr="00E406BE">
              <w:rPr>
                <w:rFonts w:ascii="Arial" w:hAnsi="Arial" w:cs="Arial"/>
                <w:noProof/>
                <w:webHidden/>
                <w:sz w:val="28"/>
                <w:szCs w:val="28"/>
              </w:rPr>
            </w:r>
            <w:r w:rsidRPr="00E406BE">
              <w:rPr>
                <w:rFonts w:ascii="Arial" w:hAnsi="Arial" w:cs="Arial"/>
                <w:noProof/>
                <w:webHidden/>
                <w:sz w:val="28"/>
                <w:szCs w:val="28"/>
              </w:rPr>
              <w:fldChar w:fldCharType="separate"/>
            </w:r>
            <w:r w:rsidRPr="00E406BE">
              <w:rPr>
                <w:rFonts w:ascii="Arial" w:hAnsi="Arial" w:cs="Arial"/>
                <w:noProof/>
                <w:webHidden/>
                <w:sz w:val="28"/>
                <w:szCs w:val="28"/>
              </w:rPr>
              <w:t>97</w:t>
            </w:r>
            <w:r w:rsidRPr="00E406BE">
              <w:rPr>
                <w:rFonts w:ascii="Arial" w:hAnsi="Arial" w:cs="Arial"/>
                <w:noProof/>
                <w:webHidden/>
                <w:sz w:val="28"/>
                <w:szCs w:val="28"/>
              </w:rPr>
              <w:fldChar w:fldCharType="end"/>
            </w:r>
          </w:hyperlink>
        </w:p>
        <w:p w14:paraId="579CCE8E" w14:textId="14D2AC7A" w:rsidR="00E406BE" w:rsidRPr="00E406BE" w:rsidRDefault="00E406BE">
          <w:pPr>
            <w:pStyle w:val="TOC3"/>
            <w:tabs>
              <w:tab w:val="right" w:leader="dot" w:pos="9350"/>
            </w:tabs>
            <w:rPr>
              <w:rFonts w:ascii="Arial" w:eastAsiaTheme="minorEastAsia" w:hAnsi="Arial" w:cs="Arial"/>
              <w:noProof/>
              <w:kern w:val="2"/>
              <w:sz w:val="28"/>
              <w:szCs w:val="28"/>
              <w14:ligatures w14:val="standardContextual"/>
            </w:rPr>
          </w:pPr>
          <w:hyperlink w:anchor="_Toc243923422" w:history="1">
            <w:r w:rsidRPr="00E406BE">
              <w:rPr>
                <w:rStyle w:val="Hyperlink"/>
                <w:rFonts w:ascii="Arial" w:hAnsi="Arial" w:cs="Arial"/>
                <w:noProof/>
                <w:sz w:val="28"/>
                <w:szCs w:val="28"/>
              </w:rPr>
              <w:t>Framework Redesign Rationale</w:t>
            </w:r>
            <w:r w:rsidRPr="00E406BE">
              <w:rPr>
                <w:rFonts w:ascii="Arial" w:hAnsi="Arial" w:cs="Arial"/>
                <w:noProof/>
                <w:webHidden/>
                <w:sz w:val="28"/>
                <w:szCs w:val="28"/>
              </w:rPr>
              <w:tab/>
            </w:r>
            <w:r w:rsidRPr="00E406BE">
              <w:rPr>
                <w:rFonts w:ascii="Arial" w:hAnsi="Arial" w:cs="Arial"/>
                <w:noProof/>
                <w:webHidden/>
                <w:sz w:val="28"/>
                <w:szCs w:val="28"/>
              </w:rPr>
              <w:fldChar w:fldCharType="begin"/>
            </w:r>
            <w:r w:rsidRPr="00E406BE">
              <w:rPr>
                <w:rFonts w:ascii="Arial" w:hAnsi="Arial" w:cs="Arial"/>
                <w:noProof/>
                <w:webHidden/>
                <w:sz w:val="28"/>
                <w:szCs w:val="28"/>
              </w:rPr>
              <w:instrText xml:space="preserve"> PAGEREF _Toc243923422 \h </w:instrText>
            </w:r>
            <w:r w:rsidRPr="00E406BE">
              <w:rPr>
                <w:rFonts w:ascii="Arial" w:hAnsi="Arial" w:cs="Arial"/>
                <w:noProof/>
                <w:webHidden/>
                <w:sz w:val="28"/>
                <w:szCs w:val="28"/>
              </w:rPr>
            </w:r>
            <w:r w:rsidRPr="00E406BE">
              <w:rPr>
                <w:rFonts w:ascii="Arial" w:hAnsi="Arial" w:cs="Arial"/>
                <w:noProof/>
                <w:webHidden/>
                <w:sz w:val="28"/>
                <w:szCs w:val="28"/>
              </w:rPr>
              <w:fldChar w:fldCharType="separate"/>
            </w:r>
            <w:r w:rsidRPr="00E406BE">
              <w:rPr>
                <w:rFonts w:ascii="Arial" w:hAnsi="Arial" w:cs="Arial"/>
                <w:noProof/>
                <w:webHidden/>
                <w:sz w:val="28"/>
                <w:szCs w:val="28"/>
              </w:rPr>
              <w:t>101</w:t>
            </w:r>
            <w:r w:rsidRPr="00E406BE">
              <w:rPr>
                <w:rFonts w:ascii="Arial" w:hAnsi="Arial" w:cs="Arial"/>
                <w:noProof/>
                <w:webHidden/>
                <w:sz w:val="28"/>
                <w:szCs w:val="28"/>
              </w:rPr>
              <w:fldChar w:fldCharType="end"/>
            </w:r>
          </w:hyperlink>
        </w:p>
        <w:p w14:paraId="35AD00A4" w14:textId="43F70B96" w:rsidR="00E406BE" w:rsidRPr="00E406BE" w:rsidRDefault="00E406BE">
          <w:pPr>
            <w:pStyle w:val="TOC3"/>
            <w:tabs>
              <w:tab w:val="right" w:leader="dot" w:pos="9350"/>
            </w:tabs>
            <w:rPr>
              <w:rFonts w:ascii="Arial" w:eastAsiaTheme="minorEastAsia" w:hAnsi="Arial" w:cs="Arial"/>
              <w:noProof/>
              <w:kern w:val="2"/>
              <w:sz w:val="28"/>
              <w:szCs w:val="28"/>
              <w14:ligatures w14:val="standardContextual"/>
            </w:rPr>
          </w:pPr>
          <w:hyperlink w:anchor="_Toc243923423" w:history="1">
            <w:r w:rsidRPr="00E406BE">
              <w:rPr>
                <w:rStyle w:val="Hyperlink"/>
                <w:rFonts w:ascii="Arial" w:hAnsi="Arial" w:cs="Arial"/>
                <w:noProof/>
                <w:sz w:val="28"/>
                <w:szCs w:val="28"/>
              </w:rPr>
              <w:t>Revised Accessibility Competency Framework</w:t>
            </w:r>
            <w:r w:rsidRPr="00E406BE">
              <w:rPr>
                <w:rFonts w:ascii="Arial" w:hAnsi="Arial" w:cs="Arial"/>
                <w:noProof/>
                <w:webHidden/>
                <w:sz w:val="28"/>
                <w:szCs w:val="28"/>
              </w:rPr>
              <w:tab/>
            </w:r>
            <w:r w:rsidRPr="00E406BE">
              <w:rPr>
                <w:rFonts w:ascii="Arial" w:hAnsi="Arial" w:cs="Arial"/>
                <w:noProof/>
                <w:webHidden/>
                <w:sz w:val="28"/>
                <w:szCs w:val="28"/>
              </w:rPr>
              <w:fldChar w:fldCharType="begin"/>
            </w:r>
            <w:r w:rsidRPr="00E406BE">
              <w:rPr>
                <w:rFonts w:ascii="Arial" w:hAnsi="Arial" w:cs="Arial"/>
                <w:noProof/>
                <w:webHidden/>
                <w:sz w:val="28"/>
                <w:szCs w:val="28"/>
              </w:rPr>
              <w:instrText xml:space="preserve"> PAGEREF _Toc243923423 \h </w:instrText>
            </w:r>
            <w:r w:rsidRPr="00E406BE">
              <w:rPr>
                <w:rFonts w:ascii="Arial" w:hAnsi="Arial" w:cs="Arial"/>
                <w:noProof/>
                <w:webHidden/>
                <w:sz w:val="28"/>
                <w:szCs w:val="28"/>
              </w:rPr>
            </w:r>
            <w:r w:rsidRPr="00E406BE">
              <w:rPr>
                <w:rFonts w:ascii="Arial" w:hAnsi="Arial" w:cs="Arial"/>
                <w:noProof/>
                <w:webHidden/>
                <w:sz w:val="28"/>
                <w:szCs w:val="28"/>
              </w:rPr>
              <w:fldChar w:fldCharType="separate"/>
            </w:r>
            <w:r w:rsidRPr="00E406BE">
              <w:rPr>
                <w:rFonts w:ascii="Arial" w:hAnsi="Arial" w:cs="Arial"/>
                <w:noProof/>
                <w:webHidden/>
                <w:sz w:val="28"/>
                <w:szCs w:val="28"/>
              </w:rPr>
              <w:t>104</w:t>
            </w:r>
            <w:r w:rsidRPr="00E406BE">
              <w:rPr>
                <w:rFonts w:ascii="Arial" w:hAnsi="Arial" w:cs="Arial"/>
                <w:noProof/>
                <w:webHidden/>
                <w:sz w:val="28"/>
                <w:szCs w:val="28"/>
              </w:rPr>
              <w:fldChar w:fldCharType="end"/>
            </w:r>
          </w:hyperlink>
        </w:p>
        <w:p w14:paraId="48FE725D" w14:textId="2855CE62" w:rsidR="00E406BE" w:rsidRPr="00E406BE" w:rsidRDefault="00E406BE">
          <w:pPr>
            <w:pStyle w:val="TOC3"/>
            <w:tabs>
              <w:tab w:val="right" w:leader="dot" w:pos="9350"/>
            </w:tabs>
            <w:rPr>
              <w:rFonts w:ascii="Arial" w:eastAsiaTheme="minorEastAsia" w:hAnsi="Arial" w:cs="Arial"/>
              <w:noProof/>
              <w:kern w:val="2"/>
              <w:sz w:val="28"/>
              <w:szCs w:val="28"/>
              <w14:ligatures w14:val="standardContextual"/>
            </w:rPr>
          </w:pPr>
          <w:hyperlink w:anchor="_Toc243923424" w:history="1">
            <w:r w:rsidRPr="00E406BE">
              <w:rPr>
                <w:rStyle w:val="Hyperlink"/>
                <w:rFonts w:ascii="Arial" w:hAnsi="Arial" w:cs="Arial"/>
                <w:noProof/>
                <w:sz w:val="28"/>
                <w:szCs w:val="28"/>
              </w:rPr>
              <w:t>Discussion</w:t>
            </w:r>
            <w:r w:rsidRPr="00E406BE">
              <w:rPr>
                <w:rFonts w:ascii="Arial" w:hAnsi="Arial" w:cs="Arial"/>
                <w:noProof/>
                <w:webHidden/>
                <w:sz w:val="28"/>
                <w:szCs w:val="28"/>
              </w:rPr>
              <w:tab/>
            </w:r>
            <w:r w:rsidRPr="00E406BE">
              <w:rPr>
                <w:rFonts w:ascii="Arial" w:hAnsi="Arial" w:cs="Arial"/>
                <w:noProof/>
                <w:webHidden/>
                <w:sz w:val="28"/>
                <w:szCs w:val="28"/>
              </w:rPr>
              <w:fldChar w:fldCharType="begin"/>
            </w:r>
            <w:r w:rsidRPr="00E406BE">
              <w:rPr>
                <w:rFonts w:ascii="Arial" w:hAnsi="Arial" w:cs="Arial"/>
                <w:noProof/>
                <w:webHidden/>
                <w:sz w:val="28"/>
                <w:szCs w:val="28"/>
              </w:rPr>
              <w:instrText xml:space="preserve"> PAGEREF _Toc243923424 \h </w:instrText>
            </w:r>
            <w:r w:rsidRPr="00E406BE">
              <w:rPr>
                <w:rFonts w:ascii="Arial" w:hAnsi="Arial" w:cs="Arial"/>
                <w:noProof/>
                <w:webHidden/>
                <w:sz w:val="28"/>
                <w:szCs w:val="28"/>
              </w:rPr>
            </w:r>
            <w:r w:rsidRPr="00E406BE">
              <w:rPr>
                <w:rFonts w:ascii="Arial" w:hAnsi="Arial" w:cs="Arial"/>
                <w:noProof/>
                <w:webHidden/>
                <w:sz w:val="28"/>
                <w:szCs w:val="28"/>
              </w:rPr>
              <w:fldChar w:fldCharType="separate"/>
            </w:r>
            <w:r w:rsidRPr="00E406BE">
              <w:rPr>
                <w:rFonts w:ascii="Arial" w:hAnsi="Arial" w:cs="Arial"/>
                <w:noProof/>
                <w:webHidden/>
                <w:sz w:val="28"/>
                <w:szCs w:val="28"/>
              </w:rPr>
              <w:t>135</w:t>
            </w:r>
            <w:r w:rsidRPr="00E406BE">
              <w:rPr>
                <w:rFonts w:ascii="Arial" w:hAnsi="Arial" w:cs="Arial"/>
                <w:noProof/>
                <w:webHidden/>
                <w:sz w:val="28"/>
                <w:szCs w:val="28"/>
              </w:rPr>
              <w:fldChar w:fldCharType="end"/>
            </w:r>
          </w:hyperlink>
        </w:p>
        <w:p w14:paraId="64762B01" w14:textId="3EB5DD12" w:rsidR="00E406BE" w:rsidRPr="00E406BE" w:rsidRDefault="00E406BE">
          <w:pPr>
            <w:pStyle w:val="TOC3"/>
            <w:tabs>
              <w:tab w:val="right" w:leader="dot" w:pos="9350"/>
            </w:tabs>
            <w:rPr>
              <w:rFonts w:ascii="Arial" w:eastAsiaTheme="minorEastAsia" w:hAnsi="Arial" w:cs="Arial"/>
              <w:noProof/>
              <w:kern w:val="2"/>
              <w:sz w:val="28"/>
              <w:szCs w:val="28"/>
              <w14:ligatures w14:val="standardContextual"/>
            </w:rPr>
          </w:pPr>
          <w:hyperlink w:anchor="_Toc243923425" w:history="1">
            <w:r w:rsidRPr="00E406BE">
              <w:rPr>
                <w:rStyle w:val="Hyperlink"/>
                <w:rFonts w:ascii="Arial" w:hAnsi="Arial" w:cs="Arial"/>
                <w:noProof/>
                <w:sz w:val="28"/>
                <w:szCs w:val="28"/>
              </w:rPr>
              <w:t>Implications for Practice and Policy</w:t>
            </w:r>
            <w:r w:rsidRPr="00E406BE">
              <w:rPr>
                <w:rFonts w:ascii="Arial" w:hAnsi="Arial" w:cs="Arial"/>
                <w:noProof/>
                <w:webHidden/>
                <w:sz w:val="28"/>
                <w:szCs w:val="28"/>
              </w:rPr>
              <w:tab/>
            </w:r>
            <w:r w:rsidRPr="00E406BE">
              <w:rPr>
                <w:rFonts w:ascii="Arial" w:hAnsi="Arial" w:cs="Arial"/>
                <w:noProof/>
                <w:webHidden/>
                <w:sz w:val="28"/>
                <w:szCs w:val="28"/>
              </w:rPr>
              <w:fldChar w:fldCharType="begin"/>
            </w:r>
            <w:r w:rsidRPr="00E406BE">
              <w:rPr>
                <w:rFonts w:ascii="Arial" w:hAnsi="Arial" w:cs="Arial"/>
                <w:noProof/>
                <w:webHidden/>
                <w:sz w:val="28"/>
                <w:szCs w:val="28"/>
              </w:rPr>
              <w:instrText xml:space="preserve"> PAGEREF _Toc243923425 \h </w:instrText>
            </w:r>
            <w:r w:rsidRPr="00E406BE">
              <w:rPr>
                <w:rFonts w:ascii="Arial" w:hAnsi="Arial" w:cs="Arial"/>
                <w:noProof/>
                <w:webHidden/>
                <w:sz w:val="28"/>
                <w:szCs w:val="28"/>
              </w:rPr>
            </w:r>
            <w:r w:rsidRPr="00E406BE">
              <w:rPr>
                <w:rFonts w:ascii="Arial" w:hAnsi="Arial" w:cs="Arial"/>
                <w:noProof/>
                <w:webHidden/>
                <w:sz w:val="28"/>
                <w:szCs w:val="28"/>
              </w:rPr>
              <w:fldChar w:fldCharType="separate"/>
            </w:r>
            <w:r w:rsidRPr="00E406BE">
              <w:rPr>
                <w:rFonts w:ascii="Arial" w:hAnsi="Arial" w:cs="Arial"/>
                <w:noProof/>
                <w:webHidden/>
                <w:sz w:val="28"/>
                <w:szCs w:val="28"/>
              </w:rPr>
              <w:t>138</w:t>
            </w:r>
            <w:r w:rsidRPr="00E406BE">
              <w:rPr>
                <w:rFonts w:ascii="Arial" w:hAnsi="Arial" w:cs="Arial"/>
                <w:noProof/>
                <w:webHidden/>
                <w:sz w:val="28"/>
                <w:szCs w:val="28"/>
              </w:rPr>
              <w:fldChar w:fldCharType="end"/>
            </w:r>
          </w:hyperlink>
        </w:p>
        <w:p w14:paraId="245CC1AC" w14:textId="22C1B8CF" w:rsidR="00E406BE" w:rsidRPr="00E406BE" w:rsidRDefault="00E406BE">
          <w:pPr>
            <w:pStyle w:val="TOC3"/>
            <w:tabs>
              <w:tab w:val="right" w:leader="dot" w:pos="9350"/>
            </w:tabs>
            <w:rPr>
              <w:rFonts w:ascii="Arial" w:eastAsiaTheme="minorEastAsia" w:hAnsi="Arial" w:cs="Arial"/>
              <w:noProof/>
              <w:kern w:val="2"/>
              <w:sz w:val="28"/>
              <w:szCs w:val="28"/>
              <w14:ligatures w14:val="standardContextual"/>
            </w:rPr>
          </w:pPr>
          <w:hyperlink w:anchor="_Toc243923426" w:history="1">
            <w:r w:rsidRPr="00E406BE">
              <w:rPr>
                <w:rStyle w:val="Hyperlink"/>
                <w:rFonts w:ascii="Arial" w:hAnsi="Arial" w:cs="Arial"/>
                <w:noProof/>
                <w:sz w:val="28"/>
                <w:szCs w:val="28"/>
              </w:rPr>
              <w:t>Limitations</w:t>
            </w:r>
            <w:r w:rsidRPr="00E406BE">
              <w:rPr>
                <w:rFonts w:ascii="Arial" w:hAnsi="Arial" w:cs="Arial"/>
                <w:noProof/>
                <w:webHidden/>
                <w:sz w:val="28"/>
                <w:szCs w:val="28"/>
              </w:rPr>
              <w:tab/>
            </w:r>
            <w:r w:rsidRPr="00E406BE">
              <w:rPr>
                <w:rFonts w:ascii="Arial" w:hAnsi="Arial" w:cs="Arial"/>
                <w:noProof/>
                <w:webHidden/>
                <w:sz w:val="28"/>
                <w:szCs w:val="28"/>
              </w:rPr>
              <w:fldChar w:fldCharType="begin"/>
            </w:r>
            <w:r w:rsidRPr="00E406BE">
              <w:rPr>
                <w:rFonts w:ascii="Arial" w:hAnsi="Arial" w:cs="Arial"/>
                <w:noProof/>
                <w:webHidden/>
                <w:sz w:val="28"/>
                <w:szCs w:val="28"/>
              </w:rPr>
              <w:instrText xml:space="preserve"> PAGEREF _Toc243923426 \h </w:instrText>
            </w:r>
            <w:r w:rsidRPr="00E406BE">
              <w:rPr>
                <w:rFonts w:ascii="Arial" w:hAnsi="Arial" w:cs="Arial"/>
                <w:noProof/>
                <w:webHidden/>
                <w:sz w:val="28"/>
                <w:szCs w:val="28"/>
              </w:rPr>
            </w:r>
            <w:r w:rsidRPr="00E406BE">
              <w:rPr>
                <w:rFonts w:ascii="Arial" w:hAnsi="Arial" w:cs="Arial"/>
                <w:noProof/>
                <w:webHidden/>
                <w:sz w:val="28"/>
                <w:szCs w:val="28"/>
              </w:rPr>
              <w:fldChar w:fldCharType="separate"/>
            </w:r>
            <w:r w:rsidRPr="00E406BE">
              <w:rPr>
                <w:rFonts w:ascii="Arial" w:hAnsi="Arial" w:cs="Arial"/>
                <w:noProof/>
                <w:webHidden/>
                <w:sz w:val="28"/>
                <w:szCs w:val="28"/>
              </w:rPr>
              <w:t>141</w:t>
            </w:r>
            <w:r w:rsidRPr="00E406BE">
              <w:rPr>
                <w:rFonts w:ascii="Arial" w:hAnsi="Arial" w:cs="Arial"/>
                <w:noProof/>
                <w:webHidden/>
                <w:sz w:val="28"/>
                <w:szCs w:val="28"/>
              </w:rPr>
              <w:fldChar w:fldCharType="end"/>
            </w:r>
          </w:hyperlink>
        </w:p>
        <w:p w14:paraId="157EA413" w14:textId="10A5B35D" w:rsidR="00E406BE" w:rsidRPr="00E406BE" w:rsidRDefault="00E406BE">
          <w:pPr>
            <w:pStyle w:val="TOC3"/>
            <w:tabs>
              <w:tab w:val="right" w:leader="dot" w:pos="9350"/>
            </w:tabs>
            <w:rPr>
              <w:rFonts w:ascii="Arial" w:eastAsiaTheme="minorEastAsia" w:hAnsi="Arial" w:cs="Arial"/>
              <w:noProof/>
              <w:kern w:val="2"/>
              <w:sz w:val="28"/>
              <w:szCs w:val="28"/>
              <w14:ligatures w14:val="standardContextual"/>
            </w:rPr>
          </w:pPr>
          <w:hyperlink w:anchor="_Toc243923427" w:history="1">
            <w:r w:rsidRPr="00E406BE">
              <w:rPr>
                <w:rStyle w:val="Hyperlink"/>
                <w:rFonts w:ascii="Arial" w:hAnsi="Arial" w:cs="Arial"/>
                <w:noProof/>
                <w:sz w:val="28"/>
                <w:szCs w:val="28"/>
              </w:rPr>
              <w:t>Future Research</w:t>
            </w:r>
            <w:r w:rsidRPr="00E406BE">
              <w:rPr>
                <w:rFonts w:ascii="Arial" w:hAnsi="Arial" w:cs="Arial"/>
                <w:noProof/>
                <w:webHidden/>
                <w:sz w:val="28"/>
                <w:szCs w:val="28"/>
              </w:rPr>
              <w:tab/>
            </w:r>
            <w:r w:rsidRPr="00E406BE">
              <w:rPr>
                <w:rFonts w:ascii="Arial" w:hAnsi="Arial" w:cs="Arial"/>
                <w:noProof/>
                <w:webHidden/>
                <w:sz w:val="28"/>
                <w:szCs w:val="28"/>
              </w:rPr>
              <w:fldChar w:fldCharType="begin"/>
            </w:r>
            <w:r w:rsidRPr="00E406BE">
              <w:rPr>
                <w:rFonts w:ascii="Arial" w:hAnsi="Arial" w:cs="Arial"/>
                <w:noProof/>
                <w:webHidden/>
                <w:sz w:val="28"/>
                <w:szCs w:val="28"/>
              </w:rPr>
              <w:instrText xml:space="preserve"> PAGEREF _Toc243923427 \h </w:instrText>
            </w:r>
            <w:r w:rsidRPr="00E406BE">
              <w:rPr>
                <w:rFonts w:ascii="Arial" w:hAnsi="Arial" w:cs="Arial"/>
                <w:noProof/>
                <w:webHidden/>
                <w:sz w:val="28"/>
                <w:szCs w:val="28"/>
              </w:rPr>
            </w:r>
            <w:r w:rsidRPr="00E406BE">
              <w:rPr>
                <w:rFonts w:ascii="Arial" w:hAnsi="Arial" w:cs="Arial"/>
                <w:noProof/>
                <w:webHidden/>
                <w:sz w:val="28"/>
                <w:szCs w:val="28"/>
              </w:rPr>
              <w:fldChar w:fldCharType="separate"/>
            </w:r>
            <w:r w:rsidRPr="00E406BE">
              <w:rPr>
                <w:rFonts w:ascii="Arial" w:hAnsi="Arial" w:cs="Arial"/>
                <w:noProof/>
                <w:webHidden/>
                <w:sz w:val="28"/>
                <w:szCs w:val="28"/>
              </w:rPr>
              <w:t>143</w:t>
            </w:r>
            <w:r w:rsidRPr="00E406BE">
              <w:rPr>
                <w:rFonts w:ascii="Arial" w:hAnsi="Arial" w:cs="Arial"/>
                <w:noProof/>
                <w:webHidden/>
                <w:sz w:val="28"/>
                <w:szCs w:val="28"/>
              </w:rPr>
              <w:fldChar w:fldCharType="end"/>
            </w:r>
          </w:hyperlink>
        </w:p>
        <w:p w14:paraId="36693668" w14:textId="5EAF018F" w:rsidR="00E406BE" w:rsidRPr="00E406BE" w:rsidRDefault="00E406BE">
          <w:pPr>
            <w:pStyle w:val="TOC3"/>
            <w:tabs>
              <w:tab w:val="right" w:leader="dot" w:pos="9350"/>
            </w:tabs>
            <w:rPr>
              <w:rFonts w:ascii="Arial" w:eastAsiaTheme="minorEastAsia" w:hAnsi="Arial" w:cs="Arial"/>
              <w:noProof/>
              <w:kern w:val="2"/>
              <w:sz w:val="28"/>
              <w:szCs w:val="28"/>
              <w14:ligatures w14:val="standardContextual"/>
            </w:rPr>
          </w:pPr>
          <w:hyperlink w:anchor="_Toc243923428" w:history="1">
            <w:r w:rsidRPr="00E406BE">
              <w:rPr>
                <w:rStyle w:val="Hyperlink"/>
                <w:rFonts w:ascii="Arial" w:hAnsi="Arial" w:cs="Arial"/>
                <w:noProof/>
                <w:sz w:val="28"/>
                <w:szCs w:val="28"/>
              </w:rPr>
              <w:t>Conclusion</w:t>
            </w:r>
            <w:r w:rsidRPr="00E406BE">
              <w:rPr>
                <w:rFonts w:ascii="Arial" w:hAnsi="Arial" w:cs="Arial"/>
                <w:noProof/>
                <w:webHidden/>
                <w:sz w:val="28"/>
                <w:szCs w:val="28"/>
              </w:rPr>
              <w:tab/>
            </w:r>
            <w:r w:rsidRPr="00E406BE">
              <w:rPr>
                <w:rFonts w:ascii="Arial" w:hAnsi="Arial" w:cs="Arial"/>
                <w:noProof/>
                <w:webHidden/>
                <w:sz w:val="28"/>
                <w:szCs w:val="28"/>
              </w:rPr>
              <w:fldChar w:fldCharType="begin"/>
            </w:r>
            <w:r w:rsidRPr="00E406BE">
              <w:rPr>
                <w:rFonts w:ascii="Arial" w:hAnsi="Arial" w:cs="Arial"/>
                <w:noProof/>
                <w:webHidden/>
                <w:sz w:val="28"/>
                <w:szCs w:val="28"/>
              </w:rPr>
              <w:instrText xml:space="preserve"> PAGEREF _Toc243923428 \h </w:instrText>
            </w:r>
            <w:r w:rsidRPr="00E406BE">
              <w:rPr>
                <w:rFonts w:ascii="Arial" w:hAnsi="Arial" w:cs="Arial"/>
                <w:noProof/>
                <w:webHidden/>
                <w:sz w:val="28"/>
                <w:szCs w:val="28"/>
              </w:rPr>
            </w:r>
            <w:r w:rsidRPr="00E406BE">
              <w:rPr>
                <w:rFonts w:ascii="Arial" w:hAnsi="Arial" w:cs="Arial"/>
                <w:noProof/>
                <w:webHidden/>
                <w:sz w:val="28"/>
                <w:szCs w:val="28"/>
              </w:rPr>
              <w:fldChar w:fldCharType="separate"/>
            </w:r>
            <w:r w:rsidRPr="00E406BE">
              <w:rPr>
                <w:rFonts w:ascii="Arial" w:hAnsi="Arial" w:cs="Arial"/>
                <w:noProof/>
                <w:webHidden/>
                <w:sz w:val="28"/>
                <w:szCs w:val="28"/>
              </w:rPr>
              <w:t>145</w:t>
            </w:r>
            <w:r w:rsidRPr="00E406BE">
              <w:rPr>
                <w:rFonts w:ascii="Arial" w:hAnsi="Arial" w:cs="Arial"/>
                <w:noProof/>
                <w:webHidden/>
                <w:sz w:val="28"/>
                <w:szCs w:val="28"/>
              </w:rPr>
              <w:fldChar w:fldCharType="end"/>
            </w:r>
          </w:hyperlink>
        </w:p>
        <w:p w14:paraId="7D5914E3" w14:textId="5958D384" w:rsidR="00E406BE" w:rsidRPr="00E406BE" w:rsidRDefault="00E406BE">
          <w:pPr>
            <w:pStyle w:val="TOC3"/>
            <w:tabs>
              <w:tab w:val="right" w:leader="dot" w:pos="9350"/>
            </w:tabs>
            <w:rPr>
              <w:rFonts w:ascii="Arial" w:eastAsiaTheme="minorEastAsia" w:hAnsi="Arial" w:cs="Arial"/>
              <w:noProof/>
              <w:kern w:val="2"/>
              <w:sz w:val="28"/>
              <w:szCs w:val="28"/>
              <w14:ligatures w14:val="standardContextual"/>
            </w:rPr>
          </w:pPr>
          <w:hyperlink w:anchor="_Toc243923429" w:history="1">
            <w:r w:rsidRPr="00E406BE">
              <w:rPr>
                <w:rStyle w:val="Hyperlink"/>
                <w:rFonts w:ascii="Arial" w:hAnsi="Arial" w:cs="Arial"/>
                <w:noProof/>
                <w:sz w:val="28"/>
                <w:szCs w:val="28"/>
              </w:rPr>
              <w:t>Accessibility Competency Framework: Practical Reference</w:t>
            </w:r>
            <w:r w:rsidRPr="00E406BE">
              <w:rPr>
                <w:rFonts w:ascii="Arial" w:hAnsi="Arial" w:cs="Arial"/>
                <w:noProof/>
                <w:webHidden/>
                <w:sz w:val="28"/>
                <w:szCs w:val="28"/>
              </w:rPr>
              <w:tab/>
            </w:r>
            <w:r w:rsidRPr="00E406BE">
              <w:rPr>
                <w:rFonts w:ascii="Arial" w:hAnsi="Arial" w:cs="Arial"/>
                <w:noProof/>
                <w:webHidden/>
                <w:sz w:val="28"/>
                <w:szCs w:val="28"/>
              </w:rPr>
              <w:fldChar w:fldCharType="begin"/>
            </w:r>
            <w:r w:rsidRPr="00E406BE">
              <w:rPr>
                <w:rFonts w:ascii="Arial" w:hAnsi="Arial" w:cs="Arial"/>
                <w:noProof/>
                <w:webHidden/>
                <w:sz w:val="28"/>
                <w:szCs w:val="28"/>
              </w:rPr>
              <w:instrText xml:space="preserve"> PAGEREF _Toc243923429 \h </w:instrText>
            </w:r>
            <w:r w:rsidRPr="00E406BE">
              <w:rPr>
                <w:rFonts w:ascii="Arial" w:hAnsi="Arial" w:cs="Arial"/>
                <w:noProof/>
                <w:webHidden/>
                <w:sz w:val="28"/>
                <w:szCs w:val="28"/>
              </w:rPr>
            </w:r>
            <w:r w:rsidRPr="00E406BE">
              <w:rPr>
                <w:rFonts w:ascii="Arial" w:hAnsi="Arial" w:cs="Arial"/>
                <w:noProof/>
                <w:webHidden/>
                <w:sz w:val="28"/>
                <w:szCs w:val="28"/>
              </w:rPr>
              <w:fldChar w:fldCharType="separate"/>
            </w:r>
            <w:r w:rsidRPr="00E406BE">
              <w:rPr>
                <w:rFonts w:ascii="Arial" w:hAnsi="Arial" w:cs="Arial"/>
                <w:noProof/>
                <w:webHidden/>
                <w:sz w:val="28"/>
                <w:szCs w:val="28"/>
              </w:rPr>
              <w:t>148</w:t>
            </w:r>
            <w:r w:rsidRPr="00E406BE">
              <w:rPr>
                <w:rFonts w:ascii="Arial" w:hAnsi="Arial" w:cs="Arial"/>
                <w:noProof/>
                <w:webHidden/>
                <w:sz w:val="28"/>
                <w:szCs w:val="28"/>
              </w:rPr>
              <w:fldChar w:fldCharType="end"/>
            </w:r>
          </w:hyperlink>
        </w:p>
        <w:p w14:paraId="5D8331E3" w14:textId="77F44872" w:rsidR="00E406BE" w:rsidRPr="00E406BE" w:rsidRDefault="00E406BE">
          <w:pPr>
            <w:pStyle w:val="TOC2"/>
            <w:tabs>
              <w:tab w:val="right" w:leader="dot" w:pos="9350"/>
            </w:tabs>
            <w:rPr>
              <w:rFonts w:ascii="Arial" w:eastAsiaTheme="minorEastAsia" w:hAnsi="Arial" w:cs="Arial"/>
              <w:noProof/>
              <w:kern w:val="2"/>
              <w:sz w:val="28"/>
              <w:szCs w:val="28"/>
              <w14:ligatures w14:val="standardContextual"/>
            </w:rPr>
          </w:pPr>
          <w:hyperlink w:anchor="_Toc243923430" w:history="1">
            <w:r w:rsidRPr="00E406BE">
              <w:rPr>
                <w:rStyle w:val="Hyperlink"/>
                <w:rFonts w:ascii="Arial" w:hAnsi="Arial" w:cs="Arial"/>
                <w:noProof/>
                <w:sz w:val="28"/>
                <w:szCs w:val="28"/>
              </w:rPr>
              <w:t>Chapter 5. Future Research and Considerations</w:t>
            </w:r>
            <w:r w:rsidRPr="00E406BE">
              <w:rPr>
                <w:rFonts w:ascii="Arial" w:hAnsi="Arial" w:cs="Arial"/>
                <w:noProof/>
                <w:webHidden/>
                <w:sz w:val="28"/>
                <w:szCs w:val="28"/>
              </w:rPr>
              <w:tab/>
            </w:r>
            <w:r w:rsidRPr="00E406BE">
              <w:rPr>
                <w:rFonts w:ascii="Arial" w:hAnsi="Arial" w:cs="Arial"/>
                <w:noProof/>
                <w:webHidden/>
                <w:sz w:val="28"/>
                <w:szCs w:val="28"/>
              </w:rPr>
              <w:fldChar w:fldCharType="begin"/>
            </w:r>
            <w:r w:rsidRPr="00E406BE">
              <w:rPr>
                <w:rFonts w:ascii="Arial" w:hAnsi="Arial" w:cs="Arial"/>
                <w:noProof/>
                <w:webHidden/>
                <w:sz w:val="28"/>
                <w:szCs w:val="28"/>
              </w:rPr>
              <w:instrText xml:space="preserve"> PAGEREF _Toc243923430 \h </w:instrText>
            </w:r>
            <w:r w:rsidRPr="00E406BE">
              <w:rPr>
                <w:rFonts w:ascii="Arial" w:hAnsi="Arial" w:cs="Arial"/>
                <w:noProof/>
                <w:webHidden/>
                <w:sz w:val="28"/>
                <w:szCs w:val="28"/>
              </w:rPr>
            </w:r>
            <w:r w:rsidRPr="00E406BE">
              <w:rPr>
                <w:rFonts w:ascii="Arial" w:hAnsi="Arial" w:cs="Arial"/>
                <w:noProof/>
                <w:webHidden/>
                <w:sz w:val="28"/>
                <w:szCs w:val="28"/>
              </w:rPr>
              <w:fldChar w:fldCharType="separate"/>
            </w:r>
            <w:r w:rsidRPr="00E406BE">
              <w:rPr>
                <w:rFonts w:ascii="Arial" w:hAnsi="Arial" w:cs="Arial"/>
                <w:noProof/>
                <w:webHidden/>
                <w:sz w:val="28"/>
                <w:szCs w:val="28"/>
              </w:rPr>
              <w:t>155</w:t>
            </w:r>
            <w:r w:rsidRPr="00E406BE">
              <w:rPr>
                <w:rFonts w:ascii="Arial" w:hAnsi="Arial" w:cs="Arial"/>
                <w:noProof/>
                <w:webHidden/>
                <w:sz w:val="28"/>
                <w:szCs w:val="28"/>
              </w:rPr>
              <w:fldChar w:fldCharType="end"/>
            </w:r>
          </w:hyperlink>
        </w:p>
        <w:p w14:paraId="0D1DC130" w14:textId="2BB76D10" w:rsidR="00E406BE" w:rsidRPr="00E406BE" w:rsidRDefault="00E406BE">
          <w:pPr>
            <w:pStyle w:val="TOC3"/>
            <w:tabs>
              <w:tab w:val="right" w:leader="dot" w:pos="9350"/>
            </w:tabs>
            <w:rPr>
              <w:rFonts w:ascii="Arial" w:eastAsiaTheme="minorEastAsia" w:hAnsi="Arial" w:cs="Arial"/>
              <w:noProof/>
              <w:kern w:val="2"/>
              <w:sz w:val="28"/>
              <w:szCs w:val="28"/>
              <w14:ligatures w14:val="standardContextual"/>
            </w:rPr>
          </w:pPr>
          <w:hyperlink w:anchor="_Toc243923431" w:history="1">
            <w:r w:rsidRPr="00E406BE">
              <w:rPr>
                <w:rStyle w:val="Hyperlink"/>
                <w:rFonts w:ascii="Arial" w:hAnsi="Arial" w:cs="Arial"/>
                <w:noProof/>
                <w:sz w:val="28"/>
                <w:szCs w:val="28"/>
              </w:rPr>
              <w:t>Public Attitudes and Social Norms: Insights from the CNIB–Ipsos Study</w:t>
            </w:r>
            <w:r w:rsidRPr="00E406BE">
              <w:rPr>
                <w:rFonts w:ascii="Arial" w:hAnsi="Arial" w:cs="Arial"/>
                <w:noProof/>
                <w:webHidden/>
                <w:sz w:val="28"/>
                <w:szCs w:val="28"/>
              </w:rPr>
              <w:tab/>
            </w:r>
            <w:r w:rsidRPr="00E406BE">
              <w:rPr>
                <w:rFonts w:ascii="Arial" w:hAnsi="Arial" w:cs="Arial"/>
                <w:noProof/>
                <w:webHidden/>
                <w:sz w:val="28"/>
                <w:szCs w:val="28"/>
              </w:rPr>
              <w:fldChar w:fldCharType="begin"/>
            </w:r>
            <w:r w:rsidRPr="00E406BE">
              <w:rPr>
                <w:rFonts w:ascii="Arial" w:hAnsi="Arial" w:cs="Arial"/>
                <w:noProof/>
                <w:webHidden/>
                <w:sz w:val="28"/>
                <w:szCs w:val="28"/>
              </w:rPr>
              <w:instrText xml:space="preserve"> PAGEREF _Toc243923431 \h </w:instrText>
            </w:r>
            <w:r w:rsidRPr="00E406BE">
              <w:rPr>
                <w:rFonts w:ascii="Arial" w:hAnsi="Arial" w:cs="Arial"/>
                <w:noProof/>
                <w:webHidden/>
                <w:sz w:val="28"/>
                <w:szCs w:val="28"/>
              </w:rPr>
            </w:r>
            <w:r w:rsidRPr="00E406BE">
              <w:rPr>
                <w:rFonts w:ascii="Arial" w:hAnsi="Arial" w:cs="Arial"/>
                <w:noProof/>
                <w:webHidden/>
                <w:sz w:val="28"/>
                <w:szCs w:val="28"/>
              </w:rPr>
              <w:fldChar w:fldCharType="separate"/>
            </w:r>
            <w:r w:rsidRPr="00E406BE">
              <w:rPr>
                <w:rFonts w:ascii="Arial" w:hAnsi="Arial" w:cs="Arial"/>
                <w:noProof/>
                <w:webHidden/>
                <w:sz w:val="28"/>
                <w:szCs w:val="28"/>
              </w:rPr>
              <w:t>156</w:t>
            </w:r>
            <w:r w:rsidRPr="00E406BE">
              <w:rPr>
                <w:rFonts w:ascii="Arial" w:hAnsi="Arial" w:cs="Arial"/>
                <w:noProof/>
                <w:webHidden/>
                <w:sz w:val="28"/>
                <w:szCs w:val="28"/>
              </w:rPr>
              <w:fldChar w:fldCharType="end"/>
            </w:r>
          </w:hyperlink>
        </w:p>
        <w:p w14:paraId="4988FB3F" w14:textId="403D41BE" w:rsidR="00E406BE" w:rsidRPr="00E406BE" w:rsidRDefault="00E406BE">
          <w:pPr>
            <w:pStyle w:val="TOC3"/>
            <w:tabs>
              <w:tab w:val="right" w:leader="dot" w:pos="9350"/>
            </w:tabs>
            <w:rPr>
              <w:rFonts w:ascii="Arial" w:eastAsiaTheme="minorEastAsia" w:hAnsi="Arial" w:cs="Arial"/>
              <w:noProof/>
              <w:kern w:val="2"/>
              <w:sz w:val="28"/>
              <w:szCs w:val="28"/>
              <w14:ligatures w14:val="standardContextual"/>
            </w:rPr>
          </w:pPr>
          <w:hyperlink w:anchor="_Toc243923432" w:history="1">
            <w:r w:rsidRPr="00E406BE">
              <w:rPr>
                <w:rStyle w:val="Hyperlink"/>
                <w:rFonts w:ascii="Arial" w:hAnsi="Arial" w:cs="Arial"/>
                <w:noProof/>
                <w:sz w:val="28"/>
                <w:szCs w:val="28"/>
              </w:rPr>
              <w:t>Interpersonal Relationships and Workplace Inclusion: The Role of Friendships</w:t>
            </w:r>
            <w:r w:rsidRPr="00E406BE">
              <w:rPr>
                <w:rFonts w:ascii="Arial" w:hAnsi="Arial" w:cs="Arial"/>
                <w:noProof/>
                <w:webHidden/>
                <w:sz w:val="28"/>
                <w:szCs w:val="28"/>
              </w:rPr>
              <w:tab/>
            </w:r>
            <w:r w:rsidRPr="00E406BE">
              <w:rPr>
                <w:rFonts w:ascii="Arial" w:hAnsi="Arial" w:cs="Arial"/>
                <w:noProof/>
                <w:webHidden/>
                <w:sz w:val="28"/>
                <w:szCs w:val="28"/>
              </w:rPr>
              <w:fldChar w:fldCharType="begin"/>
            </w:r>
            <w:r w:rsidRPr="00E406BE">
              <w:rPr>
                <w:rFonts w:ascii="Arial" w:hAnsi="Arial" w:cs="Arial"/>
                <w:noProof/>
                <w:webHidden/>
                <w:sz w:val="28"/>
                <w:szCs w:val="28"/>
              </w:rPr>
              <w:instrText xml:space="preserve"> PAGEREF _Toc243923432 \h </w:instrText>
            </w:r>
            <w:r w:rsidRPr="00E406BE">
              <w:rPr>
                <w:rFonts w:ascii="Arial" w:hAnsi="Arial" w:cs="Arial"/>
                <w:noProof/>
                <w:webHidden/>
                <w:sz w:val="28"/>
                <w:szCs w:val="28"/>
              </w:rPr>
            </w:r>
            <w:r w:rsidRPr="00E406BE">
              <w:rPr>
                <w:rFonts w:ascii="Arial" w:hAnsi="Arial" w:cs="Arial"/>
                <w:noProof/>
                <w:webHidden/>
                <w:sz w:val="28"/>
                <w:szCs w:val="28"/>
              </w:rPr>
              <w:fldChar w:fldCharType="separate"/>
            </w:r>
            <w:r w:rsidRPr="00E406BE">
              <w:rPr>
                <w:rFonts w:ascii="Arial" w:hAnsi="Arial" w:cs="Arial"/>
                <w:noProof/>
                <w:webHidden/>
                <w:sz w:val="28"/>
                <w:szCs w:val="28"/>
              </w:rPr>
              <w:t>158</w:t>
            </w:r>
            <w:r w:rsidRPr="00E406BE">
              <w:rPr>
                <w:rFonts w:ascii="Arial" w:hAnsi="Arial" w:cs="Arial"/>
                <w:noProof/>
                <w:webHidden/>
                <w:sz w:val="28"/>
                <w:szCs w:val="28"/>
              </w:rPr>
              <w:fldChar w:fldCharType="end"/>
            </w:r>
          </w:hyperlink>
        </w:p>
        <w:p w14:paraId="271B6B31" w14:textId="43944168" w:rsidR="00E406BE" w:rsidRPr="00E406BE" w:rsidRDefault="00E406BE">
          <w:pPr>
            <w:pStyle w:val="TOC3"/>
            <w:tabs>
              <w:tab w:val="right" w:leader="dot" w:pos="9350"/>
            </w:tabs>
            <w:rPr>
              <w:rFonts w:ascii="Arial" w:eastAsiaTheme="minorEastAsia" w:hAnsi="Arial" w:cs="Arial"/>
              <w:noProof/>
              <w:kern w:val="2"/>
              <w:sz w:val="28"/>
              <w:szCs w:val="28"/>
              <w14:ligatures w14:val="standardContextual"/>
            </w:rPr>
          </w:pPr>
          <w:hyperlink w:anchor="_Toc243923433" w:history="1">
            <w:r w:rsidRPr="00E406BE">
              <w:rPr>
                <w:rStyle w:val="Hyperlink"/>
                <w:rFonts w:ascii="Arial" w:hAnsi="Arial" w:cs="Arial"/>
                <w:noProof/>
                <w:sz w:val="28"/>
                <w:szCs w:val="28"/>
              </w:rPr>
              <w:t>Embracing Emerging Technologies and New Frontiers</w:t>
            </w:r>
            <w:r w:rsidRPr="00E406BE">
              <w:rPr>
                <w:rFonts w:ascii="Arial" w:hAnsi="Arial" w:cs="Arial"/>
                <w:noProof/>
                <w:webHidden/>
                <w:sz w:val="28"/>
                <w:szCs w:val="28"/>
              </w:rPr>
              <w:tab/>
            </w:r>
            <w:r w:rsidRPr="00E406BE">
              <w:rPr>
                <w:rFonts w:ascii="Arial" w:hAnsi="Arial" w:cs="Arial"/>
                <w:noProof/>
                <w:webHidden/>
                <w:sz w:val="28"/>
                <w:szCs w:val="28"/>
              </w:rPr>
              <w:fldChar w:fldCharType="begin"/>
            </w:r>
            <w:r w:rsidRPr="00E406BE">
              <w:rPr>
                <w:rFonts w:ascii="Arial" w:hAnsi="Arial" w:cs="Arial"/>
                <w:noProof/>
                <w:webHidden/>
                <w:sz w:val="28"/>
                <w:szCs w:val="28"/>
              </w:rPr>
              <w:instrText xml:space="preserve"> PAGEREF _Toc243923433 \h </w:instrText>
            </w:r>
            <w:r w:rsidRPr="00E406BE">
              <w:rPr>
                <w:rFonts w:ascii="Arial" w:hAnsi="Arial" w:cs="Arial"/>
                <w:noProof/>
                <w:webHidden/>
                <w:sz w:val="28"/>
                <w:szCs w:val="28"/>
              </w:rPr>
            </w:r>
            <w:r w:rsidRPr="00E406BE">
              <w:rPr>
                <w:rFonts w:ascii="Arial" w:hAnsi="Arial" w:cs="Arial"/>
                <w:noProof/>
                <w:webHidden/>
                <w:sz w:val="28"/>
                <w:szCs w:val="28"/>
              </w:rPr>
              <w:fldChar w:fldCharType="separate"/>
            </w:r>
            <w:r w:rsidRPr="00E406BE">
              <w:rPr>
                <w:rFonts w:ascii="Arial" w:hAnsi="Arial" w:cs="Arial"/>
                <w:noProof/>
                <w:webHidden/>
                <w:sz w:val="28"/>
                <w:szCs w:val="28"/>
              </w:rPr>
              <w:t>160</w:t>
            </w:r>
            <w:r w:rsidRPr="00E406BE">
              <w:rPr>
                <w:rFonts w:ascii="Arial" w:hAnsi="Arial" w:cs="Arial"/>
                <w:noProof/>
                <w:webHidden/>
                <w:sz w:val="28"/>
                <w:szCs w:val="28"/>
              </w:rPr>
              <w:fldChar w:fldCharType="end"/>
            </w:r>
          </w:hyperlink>
        </w:p>
        <w:p w14:paraId="61EBFF54" w14:textId="2D9C555A" w:rsidR="00E406BE" w:rsidRPr="00E406BE" w:rsidRDefault="00E406BE">
          <w:pPr>
            <w:pStyle w:val="TOC3"/>
            <w:tabs>
              <w:tab w:val="right" w:leader="dot" w:pos="9350"/>
            </w:tabs>
            <w:rPr>
              <w:rFonts w:ascii="Arial" w:eastAsiaTheme="minorEastAsia" w:hAnsi="Arial" w:cs="Arial"/>
              <w:noProof/>
              <w:kern w:val="2"/>
              <w:sz w:val="28"/>
              <w:szCs w:val="28"/>
              <w14:ligatures w14:val="standardContextual"/>
            </w:rPr>
          </w:pPr>
          <w:hyperlink w:anchor="_Toc243923434" w:history="1">
            <w:r w:rsidRPr="00E406BE">
              <w:rPr>
                <w:rStyle w:val="Hyperlink"/>
                <w:rFonts w:ascii="Arial" w:hAnsi="Arial" w:cs="Arial"/>
                <w:noProof/>
                <w:sz w:val="28"/>
                <w:szCs w:val="28"/>
              </w:rPr>
              <w:t>Expanding the Scope of Accessibility Competencies</w:t>
            </w:r>
            <w:r w:rsidRPr="00E406BE">
              <w:rPr>
                <w:rFonts w:ascii="Arial" w:hAnsi="Arial" w:cs="Arial"/>
                <w:noProof/>
                <w:webHidden/>
                <w:sz w:val="28"/>
                <w:szCs w:val="28"/>
              </w:rPr>
              <w:tab/>
            </w:r>
            <w:r w:rsidRPr="00E406BE">
              <w:rPr>
                <w:rFonts w:ascii="Arial" w:hAnsi="Arial" w:cs="Arial"/>
                <w:noProof/>
                <w:webHidden/>
                <w:sz w:val="28"/>
                <w:szCs w:val="28"/>
              </w:rPr>
              <w:fldChar w:fldCharType="begin"/>
            </w:r>
            <w:r w:rsidRPr="00E406BE">
              <w:rPr>
                <w:rFonts w:ascii="Arial" w:hAnsi="Arial" w:cs="Arial"/>
                <w:noProof/>
                <w:webHidden/>
                <w:sz w:val="28"/>
                <w:szCs w:val="28"/>
              </w:rPr>
              <w:instrText xml:space="preserve"> PAGEREF _Toc243923434 \h </w:instrText>
            </w:r>
            <w:r w:rsidRPr="00E406BE">
              <w:rPr>
                <w:rFonts w:ascii="Arial" w:hAnsi="Arial" w:cs="Arial"/>
                <w:noProof/>
                <w:webHidden/>
                <w:sz w:val="28"/>
                <w:szCs w:val="28"/>
              </w:rPr>
            </w:r>
            <w:r w:rsidRPr="00E406BE">
              <w:rPr>
                <w:rFonts w:ascii="Arial" w:hAnsi="Arial" w:cs="Arial"/>
                <w:noProof/>
                <w:webHidden/>
                <w:sz w:val="28"/>
                <w:szCs w:val="28"/>
              </w:rPr>
              <w:fldChar w:fldCharType="separate"/>
            </w:r>
            <w:r w:rsidRPr="00E406BE">
              <w:rPr>
                <w:rFonts w:ascii="Arial" w:hAnsi="Arial" w:cs="Arial"/>
                <w:noProof/>
                <w:webHidden/>
                <w:sz w:val="28"/>
                <w:szCs w:val="28"/>
              </w:rPr>
              <w:t>161</w:t>
            </w:r>
            <w:r w:rsidRPr="00E406BE">
              <w:rPr>
                <w:rFonts w:ascii="Arial" w:hAnsi="Arial" w:cs="Arial"/>
                <w:noProof/>
                <w:webHidden/>
                <w:sz w:val="28"/>
                <w:szCs w:val="28"/>
              </w:rPr>
              <w:fldChar w:fldCharType="end"/>
            </w:r>
          </w:hyperlink>
        </w:p>
        <w:p w14:paraId="35AF3320" w14:textId="7F44737A" w:rsidR="00E406BE" w:rsidRPr="00E406BE" w:rsidRDefault="00E406BE">
          <w:pPr>
            <w:pStyle w:val="TOC2"/>
            <w:tabs>
              <w:tab w:val="right" w:leader="dot" w:pos="9350"/>
            </w:tabs>
            <w:rPr>
              <w:rFonts w:ascii="Arial" w:eastAsiaTheme="minorEastAsia" w:hAnsi="Arial" w:cs="Arial"/>
              <w:noProof/>
              <w:kern w:val="2"/>
              <w:sz w:val="28"/>
              <w:szCs w:val="28"/>
              <w14:ligatures w14:val="standardContextual"/>
            </w:rPr>
          </w:pPr>
          <w:hyperlink w:anchor="_Toc243923435" w:history="1">
            <w:r w:rsidRPr="00E406BE">
              <w:rPr>
                <w:rStyle w:val="Hyperlink"/>
                <w:rFonts w:ascii="Arial" w:hAnsi="Arial" w:cs="Arial"/>
                <w:noProof/>
                <w:sz w:val="28"/>
                <w:szCs w:val="28"/>
              </w:rPr>
              <w:t>References</w:t>
            </w:r>
            <w:r w:rsidRPr="00E406BE">
              <w:rPr>
                <w:rFonts w:ascii="Arial" w:hAnsi="Arial" w:cs="Arial"/>
                <w:noProof/>
                <w:webHidden/>
                <w:sz w:val="28"/>
                <w:szCs w:val="28"/>
              </w:rPr>
              <w:tab/>
            </w:r>
            <w:r w:rsidRPr="00E406BE">
              <w:rPr>
                <w:rFonts w:ascii="Arial" w:hAnsi="Arial" w:cs="Arial"/>
                <w:noProof/>
                <w:webHidden/>
                <w:sz w:val="28"/>
                <w:szCs w:val="28"/>
              </w:rPr>
              <w:fldChar w:fldCharType="begin"/>
            </w:r>
            <w:r w:rsidRPr="00E406BE">
              <w:rPr>
                <w:rFonts w:ascii="Arial" w:hAnsi="Arial" w:cs="Arial"/>
                <w:noProof/>
                <w:webHidden/>
                <w:sz w:val="28"/>
                <w:szCs w:val="28"/>
              </w:rPr>
              <w:instrText xml:space="preserve"> PAGEREF _Toc243923435 \h </w:instrText>
            </w:r>
            <w:r w:rsidRPr="00E406BE">
              <w:rPr>
                <w:rFonts w:ascii="Arial" w:hAnsi="Arial" w:cs="Arial"/>
                <w:noProof/>
                <w:webHidden/>
                <w:sz w:val="28"/>
                <w:szCs w:val="28"/>
              </w:rPr>
            </w:r>
            <w:r w:rsidRPr="00E406BE">
              <w:rPr>
                <w:rFonts w:ascii="Arial" w:hAnsi="Arial" w:cs="Arial"/>
                <w:noProof/>
                <w:webHidden/>
                <w:sz w:val="28"/>
                <w:szCs w:val="28"/>
              </w:rPr>
              <w:fldChar w:fldCharType="separate"/>
            </w:r>
            <w:r w:rsidRPr="00E406BE">
              <w:rPr>
                <w:rFonts w:ascii="Arial" w:hAnsi="Arial" w:cs="Arial"/>
                <w:noProof/>
                <w:webHidden/>
                <w:sz w:val="28"/>
                <w:szCs w:val="28"/>
              </w:rPr>
              <w:t>167</w:t>
            </w:r>
            <w:r w:rsidRPr="00E406BE">
              <w:rPr>
                <w:rFonts w:ascii="Arial" w:hAnsi="Arial" w:cs="Arial"/>
                <w:noProof/>
                <w:webHidden/>
                <w:sz w:val="28"/>
                <w:szCs w:val="28"/>
              </w:rPr>
              <w:fldChar w:fldCharType="end"/>
            </w:r>
          </w:hyperlink>
        </w:p>
        <w:p w14:paraId="1D4924E6" w14:textId="5B8028B0" w:rsidR="00E406BE" w:rsidRPr="00E406BE" w:rsidRDefault="00E406BE">
          <w:pPr>
            <w:pStyle w:val="TOC3"/>
            <w:tabs>
              <w:tab w:val="right" w:leader="dot" w:pos="9350"/>
            </w:tabs>
            <w:rPr>
              <w:rFonts w:ascii="Arial" w:eastAsiaTheme="minorEastAsia" w:hAnsi="Arial" w:cs="Arial"/>
              <w:noProof/>
              <w:kern w:val="2"/>
              <w:sz w:val="28"/>
              <w:szCs w:val="28"/>
              <w14:ligatures w14:val="standardContextual"/>
            </w:rPr>
          </w:pPr>
          <w:hyperlink w:anchor="_Toc243923436" w:history="1">
            <w:r w:rsidRPr="00E406BE">
              <w:rPr>
                <w:rStyle w:val="Hyperlink"/>
                <w:rFonts w:ascii="Arial" w:hAnsi="Arial" w:cs="Arial"/>
                <w:noProof/>
                <w:sz w:val="28"/>
                <w:szCs w:val="28"/>
              </w:rPr>
              <w:t>Chapter 2 (Selected References from Source Documents)</w:t>
            </w:r>
            <w:r w:rsidRPr="00E406BE">
              <w:rPr>
                <w:rFonts w:ascii="Arial" w:hAnsi="Arial" w:cs="Arial"/>
                <w:noProof/>
                <w:webHidden/>
                <w:sz w:val="28"/>
                <w:szCs w:val="28"/>
              </w:rPr>
              <w:tab/>
            </w:r>
            <w:r w:rsidRPr="00E406BE">
              <w:rPr>
                <w:rFonts w:ascii="Arial" w:hAnsi="Arial" w:cs="Arial"/>
                <w:noProof/>
                <w:webHidden/>
                <w:sz w:val="28"/>
                <w:szCs w:val="28"/>
              </w:rPr>
              <w:fldChar w:fldCharType="begin"/>
            </w:r>
            <w:r w:rsidRPr="00E406BE">
              <w:rPr>
                <w:rFonts w:ascii="Arial" w:hAnsi="Arial" w:cs="Arial"/>
                <w:noProof/>
                <w:webHidden/>
                <w:sz w:val="28"/>
                <w:szCs w:val="28"/>
              </w:rPr>
              <w:instrText xml:space="preserve"> PAGEREF _Toc243923436 \h </w:instrText>
            </w:r>
            <w:r w:rsidRPr="00E406BE">
              <w:rPr>
                <w:rFonts w:ascii="Arial" w:hAnsi="Arial" w:cs="Arial"/>
                <w:noProof/>
                <w:webHidden/>
                <w:sz w:val="28"/>
                <w:szCs w:val="28"/>
              </w:rPr>
            </w:r>
            <w:r w:rsidRPr="00E406BE">
              <w:rPr>
                <w:rFonts w:ascii="Arial" w:hAnsi="Arial" w:cs="Arial"/>
                <w:noProof/>
                <w:webHidden/>
                <w:sz w:val="28"/>
                <w:szCs w:val="28"/>
              </w:rPr>
              <w:fldChar w:fldCharType="separate"/>
            </w:r>
            <w:r w:rsidRPr="00E406BE">
              <w:rPr>
                <w:rFonts w:ascii="Arial" w:hAnsi="Arial" w:cs="Arial"/>
                <w:noProof/>
                <w:webHidden/>
                <w:sz w:val="28"/>
                <w:szCs w:val="28"/>
              </w:rPr>
              <w:t>167</w:t>
            </w:r>
            <w:r w:rsidRPr="00E406BE">
              <w:rPr>
                <w:rFonts w:ascii="Arial" w:hAnsi="Arial" w:cs="Arial"/>
                <w:noProof/>
                <w:webHidden/>
                <w:sz w:val="28"/>
                <w:szCs w:val="28"/>
              </w:rPr>
              <w:fldChar w:fldCharType="end"/>
            </w:r>
          </w:hyperlink>
        </w:p>
        <w:p w14:paraId="1A194FF8" w14:textId="1724B8D2" w:rsidR="00E406BE" w:rsidRPr="00E406BE" w:rsidRDefault="00E406BE">
          <w:pPr>
            <w:pStyle w:val="TOC3"/>
            <w:tabs>
              <w:tab w:val="right" w:leader="dot" w:pos="9350"/>
            </w:tabs>
            <w:rPr>
              <w:rFonts w:ascii="Arial" w:eastAsiaTheme="minorEastAsia" w:hAnsi="Arial" w:cs="Arial"/>
              <w:noProof/>
              <w:kern w:val="2"/>
              <w:sz w:val="28"/>
              <w:szCs w:val="28"/>
              <w14:ligatures w14:val="standardContextual"/>
            </w:rPr>
          </w:pPr>
          <w:hyperlink w:anchor="_Toc243923437" w:history="1">
            <w:r w:rsidRPr="00E406BE">
              <w:rPr>
                <w:rStyle w:val="Hyperlink"/>
                <w:rFonts w:ascii="Arial" w:hAnsi="Arial" w:cs="Arial"/>
                <w:noProof/>
                <w:sz w:val="28"/>
                <w:szCs w:val="28"/>
              </w:rPr>
              <w:t>Chapter 3</w:t>
            </w:r>
            <w:r w:rsidRPr="00E406BE">
              <w:rPr>
                <w:rFonts w:ascii="Arial" w:hAnsi="Arial" w:cs="Arial"/>
                <w:noProof/>
                <w:webHidden/>
                <w:sz w:val="28"/>
                <w:szCs w:val="28"/>
              </w:rPr>
              <w:tab/>
            </w:r>
            <w:r w:rsidRPr="00E406BE">
              <w:rPr>
                <w:rFonts w:ascii="Arial" w:hAnsi="Arial" w:cs="Arial"/>
                <w:noProof/>
                <w:webHidden/>
                <w:sz w:val="28"/>
                <w:szCs w:val="28"/>
              </w:rPr>
              <w:fldChar w:fldCharType="begin"/>
            </w:r>
            <w:r w:rsidRPr="00E406BE">
              <w:rPr>
                <w:rFonts w:ascii="Arial" w:hAnsi="Arial" w:cs="Arial"/>
                <w:noProof/>
                <w:webHidden/>
                <w:sz w:val="28"/>
                <w:szCs w:val="28"/>
              </w:rPr>
              <w:instrText xml:space="preserve"> PAGEREF _Toc243923437 \h </w:instrText>
            </w:r>
            <w:r w:rsidRPr="00E406BE">
              <w:rPr>
                <w:rFonts w:ascii="Arial" w:hAnsi="Arial" w:cs="Arial"/>
                <w:noProof/>
                <w:webHidden/>
                <w:sz w:val="28"/>
                <w:szCs w:val="28"/>
              </w:rPr>
            </w:r>
            <w:r w:rsidRPr="00E406BE">
              <w:rPr>
                <w:rFonts w:ascii="Arial" w:hAnsi="Arial" w:cs="Arial"/>
                <w:noProof/>
                <w:webHidden/>
                <w:sz w:val="28"/>
                <w:szCs w:val="28"/>
              </w:rPr>
              <w:fldChar w:fldCharType="separate"/>
            </w:r>
            <w:r w:rsidRPr="00E406BE">
              <w:rPr>
                <w:rFonts w:ascii="Arial" w:hAnsi="Arial" w:cs="Arial"/>
                <w:noProof/>
                <w:webHidden/>
                <w:sz w:val="28"/>
                <w:szCs w:val="28"/>
              </w:rPr>
              <w:t>171</w:t>
            </w:r>
            <w:r w:rsidRPr="00E406BE">
              <w:rPr>
                <w:rFonts w:ascii="Arial" w:hAnsi="Arial" w:cs="Arial"/>
                <w:noProof/>
                <w:webHidden/>
                <w:sz w:val="28"/>
                <w:szCs w:val="28"/>
              </w:rPr>
              <w:fldChar w:fldCharType="end"/>
            </w:r>
          </w:hyperlink>
        </w:p>
        <w:p w14:paraId="581D8A59" w14:textId="1B550492" w:rsidR="00E406BE" w:rsidRPr="00E406BE" w:rsidRDefault="00E406BE">
          <w:pPr>
            <w:pStyle w:val="TOC3"/>
            <w:tabs>
              <w:tab w:val="right" w:leader="dot" w:pos="9350"/>
            </w:tabs>
            <w:rPr>
              <w:rFonts w:ascii="Arial" w:eastAsiaTheme="minorEastAsia" w:hAnsi="Arial" w:cs="Arial"/>
              <w:noProof/>
              <w:kern w:val="2"/>
              <w:sz w:val="28"/>
              <w:szCs w:val="28"/>
              <w14:ligatures w14:val="standardContextual"/>
            </w:rPr>
          </w:pPr>
          <w:hyperlink w:anchor="_Toc243923438" w:history="1">
            <w:r w:rsidRPr="00E406BE">
              <w:rPr>
                <w:rStyle w:val="Hyperlink"/>
                <w:rFonts w:ascii="Arial" w:hAnsi="Arial" w:cs="Arial"/>
                <w:noProof/>
                <w:sz w:val="28"/>
                <w:szCs w:val="28"/>
              </w:rPr>
              <w:t>Chapter 4</w:t>
            </w:r>
            <w:r w:rsidRPr="00E406BE">
              <w:rPr>
                <w:rFonts w:ascii="Arial" w:hAnsi="Arial" w:cs="Arial"/>
                <w:noProof/>
                <w:webHidden/>
                <w:sz w:val="28"/>
                <w:szCs w:val="28"/>
              </w:rPr>
              <w:tab/>
            </w:r>
            <w:r w:rsidRPr="00E406BE">
              <w:rPr>
                <w:rFonts w:ascii="Arial" w:hAnsi="Arial" w:cs="Arial"/>
                <w:noProof/>
                <w:webHidden/>
                <w:sz w:val="28"/>
                <w:szCs w:val="28"/>
              </w:rPr>
              <w:fldChar w:fldCharType="begin"/>
            </w:r>
            <w:r w:rsidRPr="00E406BE">
              <w:rPr>
                <w:rFonts w:ascii="Arial" w:hAnsi="Arial" w:cs="Arial"/>
                <w:noProof/>
                <w:webHidden/>
                <w:sz w:val="28"/>
                <w:szCs w:val="28"/>
              </w:rPr>
              <w:instrText xml:space="preserve"> PAGEREF _Toc243923438 \h </w:instrText>
            </w:r>
            <w:r w:rsidRPr="00E406BE">
              <w:rPr>
                <w:rFonts w:ascii="Arial" w:hAnsi="Arial" w:cs="Arial"/>
                <w:noProof/>
                <w:webHidden/>
                <w:sz w:val="28"/>
                <w:szCs w:val="28"/>
              </w:rPr>
            </w:r>
            <w:r w:rsidRPr="00E406BE">
              <w:rPr>
                <w:rFonts w:ascii="Arial" w:hAnsi="Arial" w:cs="Arial"/>
                <w:noProof/>
                <w:webHidden/>
                <w:sz w:val="28"/>
                <w:szCs w:val="28"/>
              </w:rPr>
              <w:fldChar w:fldCharType="separate"/>
            </w:r>
            <w:r w:rsidRPr="00E406BE">
              <w:rPr>
                <w:rFonts w:ascii="Arial" w:hAnsi="Arial" w:cs="Arial"/>
                <w:noProof/>
                <w:webHidden/>
                <w:sz w:val="28"/>
                <w:szCs w:val="28"/>
              </w:rPr>
              <w:t>172</w:t>
            </w:r>
            <w:r w:rsidRPr="00E406BE">
              <w:rPr>
                <w:rFonts w:ascii="Arial" w:hAnsi="Arial" w:cs="Arial"/>
                <w:noProof/>
                <w:webHidden/>
                <w:sz w:val="28"/>
                <w:szCs w:val="28"/>
              </w:rPr>
              <w:fldChar w:fldCharType="end"/>
            </w:r>
          </w:hyperlink>
        </w:p>
        <w:p w14:paraId="00516D73" w14:textId="522DD5A7" w:rsidR="00E406BE" w:rsidRPr="00E406BE" w:rsidRDefault="00E406BE">
          <w:pPr>
            <w:pStyle w:val="TOC3"/>
            <w:tabs>
              <w:tab w:val="right" w:leader="dot" w:pos="9350"/>
            </w:tabs>
            <w:rPr>
              <w:rFonts w:ascii="Arial" w:eastAsiaTheme="minorEastAsia" w:hAnsi="Arial" w:cs="Arial"/>
              <w:noProof/>
              <w:kern w:val="2"/>
              <w:sz w:val="28"/>
              <w:szCs w:val="28"/>
              <w14:ligatures w14:val="standardContextual"/>
            </w:rPr>
          </w:pPr>
          <w:hyperlink w:anchor="_Toc243923439" w:history="1">
            <w:r w:rsidRPr="00E406BE">
              <w:rPr>
                <w:rStyle w:val="Hyperlink"/>
                <w:rFonts w:ascii="Arial" w:hAnsi="Arial" w:cs="Arial"/>
                <w:noProof/>
                <w:sz w:val="28"/>
                <w:szCs w:val="28"/>
              </w:rPr>
              <w:t>Chapter 5</w:t>
            </w:r>
            <w:r w:rsidRPr="00E406BE">
              <w:rPr>
                <w:rFonts w:ascii="Arial" w:hAnsi="Arial" w:cs="Arial"/>
                <w:noProof/>
                <w:webHidden/>
                <w:sz w:val="28"/>
                <w:szCs w:val="28"/>
              </w:rPr>
              <w:tab/>
            </w:r>
            <w:r w:rsidRPr="00E406BE">
              <w:rPr>
                <w:rFonts w:ascii="Arial" w:hAnsi="Arial" w:cs="Arial"/>
                <w:noProof/>
                <w:webHidden/>
                <w:sz w:val="28"/>
                <w:szCs w:val="28"/>
              </w:rPr>
              <w:fldChar w:fldCharType="begin"/>
            </w:r>
            <w:r w:rsidRPr="00E406BE">
              <w:rPr>
                <w:rFonts w:ascii="Arial" w:hAnsi="Arial" w:cs="Arial"/>
                <w:noProof/>
                <w:webHidden/>
                <w:sz w:val="28"/>
                <w:szCs w:val="28"/>
              </w:rPr>
              <w:instrText xml:space="preserve"> PAGEREF _Toc243923439 \h </w:instrText>
            </w:r>
            <w:r w:rsidRPr="00E406BE">
              <w:rPr>
                <w:rFonts w:ascii="Arial" w:hAnsi="Arial" w:cs="Arial"/>
                <w:noProof/>
                <w:webHidden/>
                <w:sz w:val="28"/>
                <w:szCs w:val="28"/>
              </w:rPr>
            </w:r>
            <w:r w:rsidRPr="00E406BE">
              <w:rPr>
                <w:rFonts w:ascii="Arial" w:hAnsi="Arial" w:cs="Arial"/>
                <w:noProof/>
                <w:webHidden/>
                <w:sz w:val="28"/>
                <w:szCs w:val="28"/>
              </w:rPr>
              <w:fldChar w:fldCharType="separate"/>
            </w:r>
            <w:r w:rsidRPr="00E406BE">
              <w:rPr>
                <w:rFonts w:ascii="Arial" w:hAnsi="Arial" w:cs="Arial"/>
                <w:noProof/>
                <w:webHidden/>
                <w:sz w:val="28"/>
                <w:szCs w:val="28"/>
              </w:rPr>
              <w:t>175</w:t>
            </w:r>
            <w:r w:rsidRPr="00E406BE">
              <w:rPr>
                <w:rFonts w:ascii="Arial" w:hAnsi="Arial" w:cs="Arial"/>
                <w:noProof/>
                <w:webHidden/>
                <w:sz w:val="28"/>
                <w:szCs w:val="28"/>
              </w:rPr>
              <w:fldChar w:fldCharType="end"/>
            </w:r>
          </w:hyperlink>
        </w:p>
        <w:p w14:paraId="4EE08495" w14:textId="610C0B1E" w:rsidR="00E406BE" w:rsidRPr="00E406BE" w:rsidRDefault="00E406BE">
          <w:pPr>
            <w:pStyle w:val="TOC2"/>
            <w:tabs>
              <w:tab w:val="right" w:leader="dot" w:pos="9350"/>
            </w:tabs>
            <w:rPr>
              <w:rFonts w:ascii="Arial" w:eastAsiaTheme="minorEastAsia" w:hAnsi="Arial" w:cs="Arial"/>
              <w:noProof/>
              <w:kern w:val="2"/>
              <w:sz w:val="28"/>
              <w:szCs w:val="28"/>
              <w14:ligatures w14:val="standardContextual"/>
            </w:rPr>
          </w:pPr>
          <w:hyperlink w:anchor="_Toc243923440" w:history="1">
            <w:r w:rsidRPr="00E406BE">
              <w:rPr>
                <w:rStyle w:val="Hyperlink"/>
                <w:rFonts w:ascii="Arial" w:eastAsia="Calibri" w:hAnsi="Arial" w:cs="Arial"/>
                <w:noProof/>
                <w:sz w:val="28"/>
                <w:szCs w:val="28"/>
              </w:rPr>
              <w:t>Appendix A. Inclusive Leadership Foundations for Emerging Leaders</w:t>
            </w:r>
            <w:r w:rsidRPr="00E406BE">
              <w:rPr>
                <w:rFonts w:ascii="Arial" w:hAnsi="Arial" w:cs="Arial"/>
                <w:noProof/>
                <w:webHidden/>
                <w:sz w:val="28"/>
                <w:szCs w:val="28"/>
              </w:rPr>
              <w:tab/>
            </w:r>
            <w:r w:rsidRPr="00E406BE">
              <w:rPr>
                <w:rFonts w:ascii="Arial" w:hAnsi="Arial" w:cs="Arial"/>
                <w:noProof/>
                <w:webHidden/>
                <w:sz w:val="28"/>
                <w:szCs w:val="28"/>
              </w:rPr>
              <w:fldChar w:fldCharType="begin"/>
            </w:r>
            <w:r w:rsidRPr="00E406BE">
              <w:rPr>
                <w:rFonts w:ascii="Arial" w:hAnsi="Arial" w:cs="Arial"/>
                <w:noProof/>
                <w:webHidden/>
                <w:sz w:val="28"/>
                <w:szCs w:val="28"/>
              </w:rPr>
              <w:instrText xml:space="preserve"> PAGEREF _Toc243923440 \h </w:instrText>
            </w:r>
            <w:r w:rsidRPr="00E406BE">
              <w:rPr>
                <w:rFonts w:ascii="Arial" w:hAnsi="Arial" w:cs="Arial"/>
                <w:noProof/>
                <w:webHidden/>
                <w:sz w:val="28"/>
                <w:szCs w:val="28"/>
              </w:rPr>
            </w:r>
            <w:r w:rsidRPr="00E406BE">
              <w:rPr>
                <w:rFonts w:ascii="Arial" w:hAnsi="Arial" w:cs="Arial"/>
                <w:noProof/>
                <w:webHidden/>
                <w:sz w:val="28"/>
                <w:szCs w:val="28"/>
              </w:rPr>
              <w:fldChar w:fldCharType="separate"/>
            </w:r>
            <w:r w:rsidRPr="00E406BE">
              <w:rPr>
                <w:rFonts w:ascii="Arial" w:hAnsi="Arial" w:cs="Arial"/>
                <w:noProof/>
                <w:webHidden/>
                <w:sz w:val="28"/>
                <w:szCs w:val="28"/>
              </w:rPr>
              <w:t>176</w:t>
            </w:r>
            <w:r w:rsidRPr="00E406BE">
              <w:rPr>
                <w:rFonts w:ascii="Arial" w:hAnsi="Arial" w:cs="Arial"/>
                <w:noProof/>
                <w:webHidden/>
                <w:sz w:val="28"/>
                <w:szCs w:val="28"/>
              </w:rPr>
              <w:fldChar w:fldCharType="end"/>
            </w:r>
          </w:hyperlink>
        </w:p>
        <w:p w14:paraId="164B1DA0" w14:textId="5186A366" w:rsidR="00E406BE" w:rsidRPr="00E406BE" w:rsidRDefault="00E406BE">
          <w:pPr>
            <w:pStyle w:val="TOC3"/>
            <w:tabs>
              <w:tab w:val="right" w:leader="dot" w:pos="9350"/>
            </w:tabs>
            <w:rPr>
              <w:rFonts w:ascii="Arial" w:eastAsiaTheme="minorEastAsia" w:hAnsi="Arial" w:cs="Arial"/>
              <w:noProof/>
              <w:kern w:val="2"/>
              <w:sz w:val="28"/>
              <w:szCs w:val="28"/>
              <w14:ligatures w14:val="standardContextual"/>
            </w:rPr>
          </w:pPr>
          <w:hyperlink w:anchor="_Toc243923441" w:history="1">
            <w:r w:rsidRPr="00E406BE">
              <w:rPr>
                <w:rStyle w:val="Hyperlink"/>
                <w:rFonts w:ascii="Arial" w:eastAsia="Calibri" w:hAnsi="Arial" w:cs="Arial"/>
                <w:noProof/>
                <w:sz w:val="28"/>
                <w:szCs w:val="28"/>
              </w:rPr>
              <w:t>Session 1: The Role of Ethical Leadership</w:t>
            </w:r>
            <w:r w:rsidRPr="00E406BE">
              <w:rPr>
                <w:rFonts w:ascii="Arial" w:hAnsi="Arial" w:cs="Arial"/>
                <w:noProof/>
                <w:webHidden/>
                <w:sz w:val="28"/>
                <w:szCs w:val="28"/>
              </w:rPr>
              <w:tab/>
            </w:r>
            <w:r w:rsidRPr="00E406BE">
              <w:rPr>
                <w:rFonts w:ascii="Arial" w:hAnsi="Arial" w:cs="Arial"/>
                <w:noProof/>
                <w:webHidden/>
                <w:sz w:val="28"/>
                <w:szCs w:val="28"/>
              </w:rPr>
              <w:fldChar w:fldCharType="begin"/>
            </w:r>
            <w:r w:rsidRPr="00E406BE">
              <w:rPr>
                <w:rFonts w:ascii="Arial" w:hAnsi="Arial" w:cs="Arial"/>
                <w:noProof/>
                <w:webHidden/>
                <w:sz w:val="28"/>
                <w:szCs w:val="28"/>
              </w:rPr>
              <w:instrText xml:space="preserve"> PAGEREF _Toc243923441 \h </w:instrText>
            </w:r>
            <w:r w:rsidRPr="00E406BE">
              <w:rPr>
                <w:rFonts w:ascii="Arial" w:hAnsi="Arial" w:cs="Arial"/>
                <w:noProof/>
                <w:webHidden/>
                <w:sz w:val="28"/>
                <w:szCs w:val="28"/>
              </w:rPr>
            </w:r>
            <w:r w:rsidRPr="00E406BE">
              <w:rPr>
                <w:rFonts w:ascii="Arial" w:hAnsi="Arial" w:cs="Arial"/>
                <w:noProof/>
                <w:webHidden/>
                <w:sz w:val="28"/>
                <w:szCs w:val="28"/>
              </w:rPr>
              <w:fldChar w:fldCharType="separate"/>
            </w:r>
            <w:r w:rsidRPr="00E406BE">
              <w:rPr>
                <w:rFonts w:ascii="Arial" w:hAnsi="Arial" w:cs="Arial"/>
                <w:noProof/>
                <w:webHidden/>
                <w:sz w:val="28"/>
                <w:szCs w:val="28"/>
              </w:rPr>
              <w:t>176</w:t>
            </w:r>
            <w:r w:rsidRPr="00E406BE">
              <w:rPr>
                <w:rFonts w:ascii="Arial" w:hAnsi="Arial" w:cs="Arial"/>
                <w:noProof/>
                <w:webHidden/>
                <w:sz w:val="28"/>
                <w:szCs w:val="28"/>
              </w:rPr>
              <w:fldChar w:fldCharType="end"/>
            </w:r>
          </w:hyperlink>
        </w:p>
        <w:p w14:paraId="5ABC4EA7" w14:textId="26444617" w:rsidR="00E406BE" w:rsidRPr="00E406BE" w:rsidRDefault="00E406BE">
          <w:pPr>
            <w:pStyle w:val="TOC3"/>
            <w:tabs>
              <w:tab w:val="right" w:leader="dot" w:pos="9350"/>
            </w:tabs>
            <w:rPr>
              <w:rFonts w:ascii="Arial" w:eastAsiaTheme="minorEastAsia" w:hAnsi="Arial" w:cs="Arial"/>
              <w:noProof/>
              <w:kern w:val="2"/>
              <w:sz w:val="28"/>
              <w:szCs w:val="28"/>
              <w14:ligatures w14:val="standardContextual"/>
            </w:rPr>
          </w:pPr>
          <w:hyperlink w:anchor="_Toc243923442" w:history="1">
            <w:r w:rsidRPr="00E406BE">
              <w:rPr>
                <w:rStyle w:val="Hyperlink"/>
                <w:rFonts w:ascii="Arial" w:eastAsia="Calibri" w:hAnsi="Arial" w:cs="Arial"/>
                <w:noProof/>
                <w:sz w:val="28"/>
                <w:szCs w:val="28"/>
              </w:rPr>
              <w:t>Session 2: Leading Across Differences in Practice</w:t>
            </w:r>
            <w:r w:rsidRPr="00E406BE">
              <w:rPr>
                <w:rFonts w:ascii="Arial" w:hAnsi="Arial" w:cs="Arial"/>
                <w:noProof/>
                <w:webHidden/>
                <w:sz w:val="28"/>
                <w:szCs w:val="28"/>
              </w:rPr>
              <w:tab/>
            </w:r>
            <w:r w:rsidRPr="00E406BE">
              <w:rPr>
                <w:rFonts w:ascii="Arial" w:hAnsi="Arial" w:cs="Arial"/>
                <w:noProof/>
                <w:webHidden/>
                <w:sz w:val="28"/>
                <w:szCs w:val="28"/>
              </w:rPr>
              <w:fldChar w:fldCharType="begin"/>
            </w:r>
            <w:r w:rsidRPr="00E406BE">
              <w:rPr>
                <w:rFonts w:ascii="Arial" w:hAnsi="Arial" w:cs="Arial"/>
                <w:noProof/>
                <w:webHidden/>
                <w:sz w:val="28"/>
                <w:szCs w:val="28"/>
              </w:rPr>
              <w:instrText xml:space="preserve"> PAGEREF _Toc243923442 \h </w:instrText>
            </w:r>
            <w:r w:rsidRPr="00E406BE">
              <w:rPr>
                <w:rFonts w:ascii="Arial" w:hAnsi="Arial" w:cs="Arial"/>
                <w:noProof/>
                <w:webHidden/>
                <w:sz w:val="28"/>
                <w:szCs w:val="28"/>
              </w:rPr>
            </w:r>
            <w:r w:rsidRPr="00E406BE">
              <w:rPr>
                <w:rFonts w:ascii="Arial" w:hAnsi="Arial" w:cs="Arial"/>
                <w:noProof/>
                <w:webHidden/>
                <w:sz w:val="28"/>
                <w:szCs w:val="28"/>
              </w:rPr>
              <w:fldChar w:fldCharType="separate"/>
            </w:r>
            <w:r w:rsidRPr="00E406BE">
              <w:rPr>
                <w:rFonts w:ascii="Arial" w:hAnsi="Arial" w:cs="Arial"/>
                <w:noProof/>
                <w:webHidden/>
                <w:sz w:val="28"/>
                <w:szCs w:val="28"/>
              </w:rPr>
              <w:t>179</w:t>
            </w:r>
            <w:r w:rsidRPr="00E406BE">
              <w:rPr>
                <w:rFonts w:ascii="Arial" w:hAnsi="Arial" w:cs="Arial"/>
                <w:noProof/>
                <w:webHidden/>
                <w:sz w:val="28"/>
                <w:szCs w:val="28"/>
              </w:rPr>
              <w:fldChar w:fldCharType="end"/>
            </w:r>
          </w:hyperlink>
        </w:p>
        <w:p w14:paraId="05223A1C" w14:textId="07716EC6" w:rsidR="00E406BE" w:rsidRPr="00E406BE" w:rsidRDefault="00E406BE">
          <w:pPr>
            <w:pStyle w:val="TOC2"/>
            <w:tabs>
              <w:tab w:val="right" w:leader="dot" w:pos="9350"/>
            </w:tabs>
            <w:rPr>
              <w:rFonts w:ascii="Arial" w:eastAsiaTheme="minorEastAsia" w:hAnsi="Arial" w:cs="Arial"/>
              <w:noProof/>
              <w:kern w:val="2"/>
              <w:sz w:val="28"/>
              <w:szCs w:val="28"/>
              <w14:ligatures w14:val="standardContextual"/>
            </w:rPr>
          </w:pPr>
          <w:hyperlink w:anchor="_Toc243923443" w:history="1">
            <w:r w:rsidRPr="00E406BE">
              <w:rPr>
                <w:rStyle w:val="Hyperlink"/>
                <w:rFonts w:ascii="Arial" w:hAnsi="Arial" w:cs="Arial"/>
                <w:noProof/>
                <w:sz w:val="28"/>
                <w:szCs w:val="28"/>
              </w:rPr>
              <w:t xml:space="preserve">Appendix B. </w:t>
            </w:r>
            <w:r w:rsidRPr="00E406BE">
              <w:rPr>
                <w:rStyle w:val="Hyperlink"/>
                <w:rFonts w:ascii="Arial" w:eastAsia="Calibri" w:hAnsi="Arial" w:cs="Arial"/>
                <w:noProof/>
                <w:sz w:val="28"/>
                <w:szCs w:val="28"/>
              </w:rPr>
              <w:t xml:space="preserve">Inclusive Leadership Foundations – Session 1: </w:t>
            </w:r>
            <w:r w:rsidRPr="00E406BE">
              <w:rPr>
                <w:rStyle w:val="Hyperlink"/>
                <w:rFonts w:ascii="Arial" w:hAnsi="Arial" w:cs="Arial"/>
                <w:noProof/>
                <w:sz w:val="28"/>
                <w:szCs w:val="28"/>
              </w:rPr>
              <w:t>The Role of Ethical Leadership</w:t>
            </w:r>
            <w:r w:rsidRPr="00E406BE">
              <w:rPr>
                <w:rFonts w:ascii="Arial" w:hAnsi="Arial" w:cs="Arial"/>
                <w:noProof/>
                <w:webHidden/>
                <w:sz w:val="28"/>
                <w:szCs w:val="28"/>
              </w:rPr>
              <w:tab/>
            </w:r>
            <w:r w:rsidRPr="00E406BE">
              <w:rPr>
                <w:rFonts w:ascii="Arial" w:hAnsi="Arial" w:cs="Arial"/>
                <w:noProof/>
                <w:webHidden/>
                <w:sz w:val="28"/>
                <w:szCs w:val="28"/>
              </w:rPr>
              <w:fldChar w:fldCharType="begin"/>
            </w:r>
            <w:r w:rsidRPr="00E406BE">
              <w:rPr>
                <w:rFonts w:ascii="Arial" w:hAnsi="Arial" w:cs="Arial"/>
                <w:noProof/>
                <w:webHidden/>
                <w:sz w:val="28"/>
                <w:szCs w:val="28"/>
              </w:rPr>
              <w:instrText xml:space="preserve"> PAGEREF _Toc243923443 \h </w:instrText>
            </w:r>
            <w:r w:rsidRPr="00E406BE">
              <w:rPr>
                <w:rFonts w:ascii="Arial" w:hAnsi="Arial" w:cs="Arial"/>
                <w:noProof/>
                <w:webHidden/>
                <w:sz w:val="28"/>
                <w:szCs w:val="28"/>
              </w:rPr>
            </w:r>
            <w:r w:rsidRPr="00E406BE">
              <w:rPr>
                <w:rFonts w:ascii="Arial" w:hAnsi="Arial" w:cs="Arial"/>
                <w:noProof/>
                <w:webHidden/>
                <w:sz w:val="28"/>
                <w:szCs w:val="28"/>
              </w:rPr>
              <w:fldChar w:fldCharType="separate"/>
            </w:r>
            <w:r w:rsidRPr="00E406BE">
              <w:rPr>
                <w:rFonts w:ascii="Arial" w:hAnsi="Arial" w:cs="Arial"/>
                <w:noProof/>
                <w:webHidden/>
                <w:sz w:val="28"/>
                <w:szCs w:val="28"/>
              </w:rPr>
              <w:t>182</w:t>
            </w:r>
            <w:r w:rsidRPr="00E406BE">
              <w:rPr>
                <w:rFonts w:ascii="Arial" w:hAnsi="Arial" w:cs="Arial"/>
                <w:noProof/>
                <w:webHidden/>
                <w:sz w:val="28"/>
                <w:szCs w:val="28"/>
              </w:rPr>
              <w:fldChar w:fldCharType="end"/>
            </w:r>
          </w:hyperlink>
        </w:p>
        <w:p w14:paraId="0D1BE4B2" w14:textId="6A539A4C" w:rsidR="00E406BE" w:rsidRPr="00E406BE" w:rsidRDefault="00E406BE">
          <w:pPr>
            <w:pStyle w:val="TOC3"/>
            <w:tabs>
              <w:tab w:val="right" w:leader="dot" w:pos="9350"/>
            </w:tabs>
            <w:rPr>
              <w:rFonts w:ascii="Arial" w:eastAsiaTheme="minorEastAsia" w:hAnsi="Arial" w:cs="Arial"/>
              <w:noProof/>
              <w:kern w:val="2"/>
              <w:sz w:val="28"/>
              <w:szCs w:val="28"/>
              <w14:ligatures w14:val="standardContextual"/>
            </w:rPr>
          </w:pPr>
          <w:hyperlink w:anchor="_Toc243923444" w:history="1">
            <w:r w:rsidRPr="00E406BE">
              <w:rPr>
                <w:rStyle w:val="Hyperlink"/>
                <w:rFonts w:ascii="Arial" w:eastAsia="Calibri" w:hAnsi="Arial" w:cs="Arial"/>
                <w:noProof/>
                <w:sz w:val="28"/>
                <w:szCs w:val="28"/>
              </w:rPr>
              <w:t>Welcome!</w:t>
            </w:r>
            <w:r w:rsidRPr="00E406BE">
              <w:rPr>
                <w:rFonts w:ascii="Arial" w:hAnsi="Arial" w:cs="Arial"/>
                <w:noProof/>
                <w:webHidden/>
                <w:sz w:val="28"/>
                <w:szCs w:val="28"/>
              </w:rPr>
              <w:tab/>
            </w:r>
            <w:r w:rsidRPr="00E406BE">
              <w:rPr>
                <w:rFonts w:ascii="Arial" w:hAnsi="Arial" w:cs="Arial"/>
                <w:noProof/>
                <w:webHidden/>
                <w:sz w:val="28"/>
                <w:szCs w:val="28"/>
              </w:rPr>
              <w:fldChar w:fldCharType="begin"/>
            </w:r>
            <w:r w:rsidRPr="00E406BE">
              <w:rPr>
                <w:rFonts w:ascii="Arial" w:hAnsi="Arial" w:cs="Arial"/>
                <w:noProof/>
                <w:webHidden/>
                <w:sz w:val="28"/>
                <w:szCs w:val="28"/>
              </w:rPr>
              <w:instrText xml:space="preserve"> PAGEREF _Toc243923444 \h </w:instrText>
            </w:r>
            <w:r w:rsidRPr="00E406BE">
              <w:rPr>
                <w:rFonts w:ascii="Arial" w:hAnsi="Arial" w:cs="Arial"/>
                <w:noProof/>
                <w:webHidden/>
                <w:sz w:val="28"/>
                <w:szCs w:val="28"/>
              </w:rPr>
            </w:r>
            <w:r w:rsidRPr="00E406BE">
              <w:rPr>
                <w:rFonts w:ascii="Arial" w:hAnsi="Arial" w:cs="Arial"/>
                <w:noProof/>
                <w:webHidden/>
                <w:sz w:val="28"/>
                <w:szCs w:val="28"/>
              </w:rPr>
              <w:fldChar w:fldCharType="separate"/>
            </w:r>
            <w:r w:rsidRPr="00E406BE">
              <w:rPr>
                <w:rFonts w:ascii="Arial" w:hAnsi="Arial" w:cs="Arial"/>
                <w:noProof/>
                <w:webHidden/>
                <w:sz w:val="28"/>
                <w:szCs w:val="28"/>
              </w:rPr>
              <w:t>183</w:t>
            </w:r>
            <w:r w:rsidRPr="00E406BE">
              <w:rPr>
                <w:rFonts w:ascii="Arial" w:hAnsi="Arial" w:cs="Arial"/>
                <w:noProof/>
                <w:webHidden/>
                <w:sz w:val="28"/>
                <w:szCs w:val="28"/>
              </w:rPr>
              <w:fldChar w:fldCharType="end"/>
            </w:r>
          </w:hyperlink>
        </w:p>
        <w:p w14:paraId="02212DB3" w14:textId="2AFBEAA7" w:rsidR="00E406BE" w:rsidRPr="00E406BE" w:rsidRDefault="00E406BE">
          <w:pPr>
            <w:pStyle w:val="TOC3"/>
            <w:tabs>
              <w:tab w:val="right" w:leader="dot" w:pos="9350"/>
            </w:tabs>
            <w:rPr>
              <w:rFonts w:ascii="Arial" w:eastAsiaTheme="minorEastAsia" w:hAnsi="Arial" w:cs="Arial"/>
              <w:noProof/>
              <w:kern w:val="2"/>
              <w:sz w:val="28"/>
              <w:szCs w:val="28"/>
              <w14:ligatures w14:val="standardContextual"/>
            </w:rPr>
          </w:pPr>
          <w:hyperlink w:anchor="_Toc243923445" w:history="1">
            <w:r w:rsidRPr="00E406BE">
              <w:rPr>
                <w:rStyle w:val="Hyperlink"/>
                <w:rFonts w:ascii="Arial" w:eastAsia="Calibri" w:hAnsi="Arial" w:cs="Arial"/>
                <w:noProof/>
                <w:sz w:val="28"/>
                <w:szCs w:val="28"/>
              </w:rPr>
              <w:t>How we will spend our time</w:t>
            </w:r>
            <w:r w:rsidRPr="00E406BE">
              <w:rPr>
                <w:rFonts w:ascii="Arial" w:hAnsi="Arial" w:cs="Arial"/>
                <w:noProof/>
                <w:webHidden/>
                <w:sz w:val="28"/>
                <w:szCs w:val="28"/>
              </w:rPr>
              <w:tab/>
            </w:r>
            <w:r w:rsidRPr="00E406BE">
              <w:rPr>
                <w:rFonts w:ascii="Arial" w:hAnsi="Arial" w:cs="Arial"/>
                <w:noProof/>
                <w:webHidden/>
                <w:sz w:val="28"/>
                <w:szCs w:val="28"/>
              </w:rPr>
              <w:fldChar w:fldCharType="begin"/>
            </w:r>
            <w:r w:rsidRPr="00E406BE">
              <w:rPr>
                <w:rFonts w:ascii="Arial" w:hAnsi="Arial" w:cs="Arial"/>
                <w:noProof/>
                <w:webHidden/>
                <w:sz w:val="28"/>
                <w:szCs w:val="28"/>
              </w:rPr>
              <w:instrText xml:space="preserve"> PAGEREF _Toc243923445 \h </w:instrText>
            </w:r>
            <w:r w:rsidRPr="00E406BE">
              <w:rPr>
                <w:rFonts w:ascii="Arial" w:hAnsi="Arial" w:cs="Arial"/>
                <w:noProof/>
                <w:webHidden/>
                <w:sz w:val="28"/>
                <w:szCs w:val="28"/>
              </w:rPr>
            </w:r>
            <w:r w:rsidRPr="00E406BE">
              <w:rPr>
                <w:rFonts w:ascii="Arial" w:hAnsi="Arial" w:cs="Arial"/>
                <w:noProof/>
                <w:webHidden/>
                <w:sz w:val="28"/>
                <w:szCs w:val="28"/>
              </w:rPr>
              <w:fldChar w:fldCharType="separate"/>
            </w:r>
            <w:r w:rsidRPr="00E406BE">
              <w:rPr>
                <w:rFonts w:ascii="Arial" w:hAnsi="Arial" w:cs="Arial"/>
                <w:noProof/>
                <w:webHidden/>
                <w:sz w:val="28"/>
                <w:szCs w:val="28"/>
              </w:rPr>
              <w:t>184</w:t>
            </w:r>
            <w:r w:rsidRPr="00E406BE">
              <w:rPr>
                <w:rFonts w:ascii="Arial" w:hAnsi="Arial" w:cs="Arial"/>
                <w:noProof/>
                <w:webHidden/>
                <w:sz w:val="28"/>
                <w:szCs w:val="28"/>
              </w:rPr>
              <w:fldChar w:fldCharType="end"/>
            </w:r>
          </w:hyperlink>
        </w:p>
        <w:p w14:paraId="4DE2E5DF" w14:textId="64AA5532" w:rsidR="00E406BE" w:rsidRPr="00E406BE" w:rsidRDefault="00E406BE">
          <w:pPr>
            <w:pStyle w:val="TOC3"/>
            <w:tabs>
              <w:tab w:val="right" w:leader="dot" w:pos="9350"/>
            </w:tabs>
            <w:rPr>
              <w:rFonts w:ascii="Arial" w:eastAsiaTheme="minorEastAsia" w:hAnsi="Arial" w:cs="Arial"/>
              <w:noProof/>
              <w:kern w:val="2"/>
              <w:sz w:val="28"/>
              <w:szCs w:val="28"/>
              <w14:ligatures w14:val="standardContextual"/>
            </w:rPr>
          </w:pPr>
          <w:hyperlink w:anchor="_Toc243923446" w:history="1">
            <w:r w:rsidRPr="00E406BE">
              <w:rPr>
                <w:rStyle w:val="Hyperlink"/>
                <w:rFonts w:ascii="Arial" w:eastAsia="Calibri" w:hAnsi="Arial" w:cs="Arial"/>
                <w:noProof/>
                <w:sz w:val="28"/>
                <w:szCs w:val="28"/>
              </w:rPr>
              <w:t>Learning outcomes</w:t>
            </w:r>
            <w:r w:rsidRPr="00E406BE">
              <w:rPr>
                <w:rFonts w:ascii="Arial" w:hAnsi="Arial" w:cs="Arial"/>
                <w:noProof/>
                <w:webHidden/>
                <w:sz w:val="28"/>
                <w:szCs w:val="28"/>
              </w:rPr>
              <w:tab/>
            </w:r>
            <w:r w:rsidRPr="00E406BE">
              <w:rPr>
                <w:rFonts w:ascii="Arial" w:hAnsi="Arial" w:cs="Arial"/>
                <w:noProof/>
                <w:webHidden/>
                <w:sz w:val="28"/>
                <w:szCs w:val="28"/>
              </w:rPr>
              <w:fldChar w:fldCharType="begin"/>
            </w:r>
            <w:r w:rsidRPr="00E406BE">
              <w:rPr>
                <w:rFonts w:ascii="Arial" w:hAnsi="Arial" w:cs="Arial"/>
                <w:noProof/>
                <w:webHidden/>
                <w:sz w:val="28"/>
                <w:szCs w:val="28"/>
              </w:rPr>
              <w:instrText xml:space="preserve"> PAGEREF _Toc243923446 \h </w:instrText>
            </w:r>
            <w:r w:rsidRPr="00E406BE">
              <w:rPr>
                <w:rFonts w:ascii="Arial" w:hAnsi="Arial" w:cs="Arial"/>
                <w:noProof/>
                <w:webHidden/>
                <w:sz w:val="28"/>
                <w:szCs w:val="28"/>
              </w:rPr>
            </w:r>
            <w:r w:rsidRPr="00E406BE">
              <w:rPr>
                <w:rFonts w:ascii="Arial" w:hAnsi="Arial" w:cs="Arial"/>
                <w:noProof/>
                <w:webHidden/>
                <w:sz w:val="28"/>
                <w:szCs w:val="28"/>
              </w:rPr>
              <w:fldChar w:fldCharType="separate"/>
            </w:r>
            <w:r w:rsidRPr="00E406BE">
              <w:rPr>
                <w:rFonts w:ascii="Arial" w:hAnsi="Arial" w:cs="Arial"/>
                <w:noProof/>
                <w:webHidden/>
                <w:sz w:val="28"/>
                <w:szCs w:val="28"/>
              </w:rPr>
              <w:t>185</w:t>
            </w:r>
            <w:r w:rsidRPr="00E406BE">
              <w:rPr>
                <w:rFonts w:ascii="Arial" w:hAnsi="Arial" w:cs="Arial"/>
                <w:noProof/>
                <w:webHidden/>
                <w:sz w:val="28"/>
                <w:szCs w:val="28"/>
              </w:rPr>
              <w:fldChar w:fldCharType="end"/>
            </w:r>
          </w:hyperlink>
        </w:p>
        <w:p w14:paraId="14997E8C" w14:textId="2E8E0F8D" w:rsidR="00E406BE" w:rsidRPr="00E406BE" w:rsidRDefault="00E406BE">
          <w:pPr>
            <w:pStyle w:val="TOC3"/>
            <w:tabs>
              <w:tab w:val="right" w:leader="dot" w:pos="9350"/>
            </w:tabs>
            <w:rPr>
              <w:rFonts w:ascii="Arial" w:eastAsiaTheme="minorEastAsia" w:hAnsi="Arial" w:cs="Arial"/>
              <w:noProof/>
              <w:kern w:val="2"/>
              <w:sz w:val="28"/>
              <w:szCs w:val="28"/>
              <w14:ligatures w14:val="standardContextual"/>
            </w:rPr>
          </w:pPr>
          <w:hyperlink w:anchor="_Toc243923447" w:history="1">
            <w:r w:rsidRPr="00E406BE">
              <w:rPr>
                <w:rStyle w:val="Hyperlink"/>
                <w:rFonts w:ascii="Arial" w:eastAsia="Calibri" w:hAnsi="Arial" w:cs="Arial"/>
                <w:noProof/>
                <w:sz w:val="28"/>
                <w:szCs w:val="28"/>
              </w:rPr>
              <w:t>Ethical leadership</w:t>
            </w:r>
            <w:r w:rsidRPr="00E406BE">
              <w:rPr>
                <w:rFonts w:ascii="Arial" w:hAnsi="Arial" w:cs="Arial"/>
                <w:noProof/>
                <w:webHidden/>
                <w:sz w:val="28"/>
                <w:szCs w:val="28"/>
              </w:rPr>
              <w:tab/>
            </w:r>
            <w:r w:rsidRPr="00E406BE">
              <w:rPr>
                <w:rFonts w:ascii="Arial" w:hAnsi="Arial" w:cs="Arial"/>
                <w:noProof/>
                <w:webHidden/>
                <w:sz w:val="28"/>
                <w:szCs w:val="28"/>
              </w:rPr>
              <w:fldChar w:fldCharType="begin"/>
            </w:r>
            <w:r w:rsidRPr="00E406BE">
              <w:rPr>
                <w:rFonts w:ascii="Arial" w:hAnsi="Arial" w:cs="Arial"/>
                <w:noProof/>
                <w:webHidden/>
                <w:sz w:val="28"/>
                <w:szCs w:val="28"/>
              </w:rPr>
              <w:instrText xml:space="preserve"> PAGEREF _Toc243923447 \h </w:instrText>
            </w:r>
            <w:r w:rsidRPr="00E406BE">
              <w:rPr>
                <w:rFonts w:ascii="Arial" w:hAnsi="Arial" w:cs="Arial"/>
                <w:noProof/>
                <w:webHidden/>
                <w:sz w:val="28"/>
                <w:szCs w:val="28"/>
              </w:rPr>
            </w:r>
            <w:r w:rsidRPr="00E406BE">
              <w:rPr>
                <w:rFonts w:ascii="Arial" w:hAnsi="Arial" w:cs="Arial"/>
                <w:noProof/>
                <w:webHidden/>
                <w:sz w:val="28"/>
                <w:szCs w:val="28"/>
              </w:rPr>
              <w:fldChar w:fldCharType="separate"/>
            </w:r>
            <w:r w:rsidRPr="00E406BE">
              <w:rPr>
                <w:rFonts w:ascii="Arial" w:hAnsi="Arial" w:cs="Arial"/>
                <w:noProof/>
                <w:webHidden/>
                <w:sz w:val="28"/>
                <w:szCs w:val="28"/>
              </w:rPr>
              <w:t>186</w:t>
            </w:r>
            <w:r w:rsidRPr="00E406BE">
              <w:rPr>
                <w:rFonts w:ascii="Arial" w:hAnsi="Arial" w:cs="Arial"/>
                <w:noProof/>
                <w:webHidden/>
                <w:sz w:val="28"/>
                <w:szCs w:val="28"/>
              </w:rPr>
              <w:fldChar w:fldCharType="end"/>
            </w:r>
          </w:hyperlink>
        </w:p>
        <w:p w14:paraId="5F9885DE" w14:textId="1E664E98" w:rsidR="00E406BE" w:rsidRPr="00E406BE" w:rsidRDefault="00E406BE">
          <w:pPr>
            <w:pStyle w:val="TOC3"/>
            <w:tabs>
              <w:tab w:val="right" w:leader="dot" w:pos="9350"/>
            </w:tabs>
            <w:rPr>
              <w:rFonts w:ascii="Arial" w:eastAsiaTheme="minorEastAsia" w:hAnsi="Arial" w:cs="Arial"/>
              <w:noProof/>
              <w:kern w:val="2"/>
              <w:sz w:val="28"/>
              <w:szCs w:val="28"/>
              <w14:ligatures w14:val="standardContextual"/>
            </w:rPr>
          </w:pPr>
          <w:hyperlink w:anchor="_Toc243923448" w:history="1">
            <w:r w:rsidRPr="00E406BE">
              <w:rPr>
                <w:rStyle w:val="Hyperlink"/>
                <w:rFonts w:ascii="Arial" w:eastAsia="Calibri" w:hAnsi="Arial" w:cs="Arial"/>
                <w:noProof/>
                <w:sz w:val="28"/>
                <w:szCs w:val="28"/>
              </w:rPr>
              <w:t>Leadership is relational</w:t>
            </w:r>
            <w:r w:rsidRPr="00E406BE">
              <w:rPr>
                <w:rFonts w:ascii="Arial" w:hAnsi="Arial" w:cs="Arial"/>
                <w:noProof/>
                <w:webHidden/>
                <w:sz w:val="28"/>
                <w:szCs w:val="28"/>
              </w:rPr>
              <w:tab/>
            </w:r>
            <w:r w:rsidRPr="00E406BE">
              <w:rPr>
                <w:rFonts w:ascii="Arial" w:hAnsi="Arial" w:cs="Arial"/>
                <w:noProof/>
                <w:webHidden/>
                <w:sz w:val="28"/>
                <w:szCs w:val="28"/>
              </w:rPr>
              <w:fldChar w:fldCharType="begin"/>
            </w:r>
            <w:r w:rsidRPr="00E406BE">
              <w:rPr>
                <w:rFonts w:ascii="Arial" w:hAnsi="Arial" w:cs="Arial"/>
                <w:noProof/>
                <w:webHidden/>
                <w:sz w:val="28"/>
                <w:szCs w:val="28"/>
              </w:rPr>
              <w:instrText xml:space="preserve"> PAGEREF _Toc243923448 \h </w:instrText>
            </w:r>
            <w:r w:rsidRPr="00E406BE">
              <w:rPr>
                <w:rFonts w:ascii="Arial" w:hAnsi="Arial" w:cs="Arial"/>
                <w:noProof/>
                <w:webHidden/>
                <w:sz w:val="28"/>
                <w:szCs w:val="28"/>
              </w:rPr>
            </w:r>
            <w:r w:rsidRPr="00E406BE">
              <w:rPr>
                <w:rFonts w:ascii="Arial" w:hAnsi="Arial" w:cs="Arial"/>
                <w:noProof/>
                <w:webHidden/>
                <w:sz w:val="28"/>
                <w:szCs w:val="28"/>
              </w:rPr>
              <w:fldChar w:fldCharType="separate"/>
            </w:r>
            <w:r w:rsidRPr="00E406BE">
              <w:rPr>
                <w:rFonts w:ascii="Arial" w:hAnsi="Arial" w:cs="Arial"/>
                <w:noProof/>
                <w:webHidden/>
                <w:sz w:val="28"/>
                <w:szCs w:val="28"/>
              </w:rPr>
              <w:t>187</w:t>
            </w:r>
            <w:r w:rsidRPr="00E406BE">
              <w:rPr>
                <w:rFonts w:ascii="Arial" w:hAnsi="Arial" w:cs="Arial"/>
                <w:noProof/>
                <w:webHidden/>
                <w:sz w:val="28"/>
                <w:szCs w:val="28"/>
              </w:rPr>
              <w:fldChar w:fldCharType="end"/>
            </w:r>
          </w:hyperlink>
        </w:p>
        <w:p w14:paraId="79547AA6" w14:textId="55DEAE01" w:rsidR="00E406BE" w:rsidRPr="00E406BE" w:rsidRDefault="00E406BE">
          <w:pPr>
            <w:pStyle w:val="TOC3"/>
            <w:tabs>
              <w:tab w:val="right" w:leader="dot" w:pos="9350"/>
            </w:tabs>
            <w:rPr>
              <w:rFonts w:ascii="Arial" w:eastAsiaTheme="minorEastAsia" w:hAnsi="Arial" w:cs="Arial"/>
              <w:noProof/>
              <w:kern w:val="2"/>
              <w:sz w:val="28"/>
              <w:szCs w:val="28"/>
              <w14:ligatures w14:val="standardContextual"/>
            </w:rPr>
          </w:pPr>
          <w:hyperlink w:anchor="_Toc243923449" w:history="1">
            <w:r w:rsidRPr="00E406BE">
              <w:rPr>
                <w:rStyle w:val="Hyperlink"/>
                <w:rFonts w:ascii="Arial" w:eastAsia="Calibri" w:hAnsi="Arial" w:cs="Arial"/>
                <w:noProof/>
                <w:sz w:val="28"/>
                <w:szCs w:val="28"/>
              </w:rPr>
              <w:t>Cultural humility as a leadership stance</w:t>
            </w:r>
            <w:r w:rsidRPr="00E406BE">
              <w:rPr>
                <w:rFonts w:ascii="Arial" w:hAnsi="Arial" w:cs="Arial"/>
                <w:noProof/>
                <w:webHidden/>
                <w:sz w:val="28"/>
                <w:szCs w:val="28"/>
              </w:rPr>
              <w:tab/>
            </w:r>
            <w:r w:rsidRPr="00E406BE">
              <w:rPr>
                <w:rFonts w:ascii="Arial" w:hAnsi="Arial" w:cs="Arial"/>
                <w:noProof/>
                <w:webHidden/>
                <w:sz w:val="28"/>
                <w:szCs w:val="28"/>
              </w:rPr>
              <w:fldChar w:fldCharType="begin"/>
            </w:r>
            <w:r w:rsidRPr="00E406BE">
              <w:rPr>
                <w:rFonts w:ascii="Arial" w:hAnsi="Arial" w:cs="Arial"/>
                <w:noProof/>
                <w:webHidden/>
                <w:sz w:val="28"/>
                <w:szCs w:val="28"/>
              </w:rPr>
              <w:instrText xml:space="preserve"> PAGEREF _Toc243923449 \h </w:instrText>
            </w:r>
            <w:r w:rsidRPr="00E406BE">
              <w:rPr>
                <w:rFonts w:ascii="Arial" w:hAnsi="Arial" w:cs="Arial"/>
                <w:noProof/>
                <w:webHidden/>
                <w:sz w:val="28"/>
                <w:szCs w:val="28"/>
              </w:rPr>
            </w:r>
            <w:r w:rsidRPr="00E406BE">
              <w:rPr>
                <w:rFonts w:ascii="Arial" w:hAnsi="Arial" w:cs="Arial"/>
                <w:noProof/>
                <w:webHidden/>
                <w:sz w:val="28"/>
                <w:szCs w:val="28"/>
              </w:rPr>
              <w:fldChar w:fldCharType="separate"/>
            </w:r>
            <w:r w:rsidRPr="00E406BE">
              <w:rPr>
                <w:rFonts w:ascii="Arial" w:hAnsi="Arial" w:cs="Arial"/>
                <w:noProof/>
                <w:webHidden/>
                <w:sz w:val="28"/>
                <w:szCs w:val="28"/>
              </w:rPr>
              <w:t>188</w:t>
            </w:r>
            <w:r w:rsidRPr="00E406BE">
              <w:rPr>
                <w:rFonts w:ascii="Arial" w:hAnsi="Arial" w:cs="Arial"/>
                <w:noProof/>
                <w:webHidden/>
                <w:sz w:val="28"/>
                <w:szCs w:val="28"/>
              </w:rPr>
              <w:fldChar w:fldCharType="end"/>
            </w:r>
          </w:hyperlink>
        </w:p>
        <w:p w14:paraId="38F22CD0" w14:textId="01DDB1C6" w:rsidR="00E406BE" w:rsidRPr="00E406BE" w:rsidRDefault="00E406BE">
          <w:pPr>
            <w:pStyle w:val="TOC3"/>
            <w:tabs>
              <w:tab w:val="right" w:leader="dot" w:pos="9350"/>
            </w:tabs>
            <w:rPr>
              <w:rFonts w:ascii="Arial" w:eastAsiaTheme="minorEastAsia" w:hAnsi="Arial" w:cs="Arial"/>
              <w:noProof/>
              <w:kern w:val="2"/>
              <w:sz w:val="28"/>
              <w:szCs w:val="28"/>
              <w14:ligatures w14:val="standardContextual"/>
            </w:rPr>
          </w:pPr>
          <w:hyperlink w:anchor="_Toc243923450" w:history="1">
            <w:r w:rsidRPr="00E406BE">
              <w:rPr>
                <w:rStyle w:val="Hyperlink"/>
                <w:rFonts w:ascii="Arial" w:eastAsia="Calibri" w:hAnsi="Arial" w:cs="Arial"/>
                <w:noProof/>
                <w:sz w:val="28"/>
                <w:szCs w:val="28"/>
              </w:rPr>
              <w:t>Cultural humility in leadership decisions</w:t>
            </w:r>
            <w:r w:rsidRPr="00E406BE">
              <w:rPr>
                <w:rFonts w:ascii="Arial" w:hAnsi="Arial" w:cs="Arial"/>
                <w:noProof/>
                <w:webHidden/>
                <w:sz w:val="28"/>
                <w:szCs w:val="28"/>
              </w:rPr>
              <w:tab/>
            </w:r>
            <w:r w:rsidRPr="00E406BE">
              <w:rPr>
                <w:rFonts w:ascii="Arial" w:hAnsi="Arial" w:cs="Arial"/>
                <w:noProof/>
                <w:webHidden/>
                <w:sz w:val="28"/>
                <w:szCs w:val="28"/>
              </w:rPr>
              <w:fldChar w:fldCharType="begin"/>
            </w:r>
            <w:r w:rsidRPr="00E406BE">
              <w:rPr>
                <w:rFonts w:ascii="Arial" w:hAnsi="Arial" w:cs="Arial"/>
                <w:noProof/>
                <w:webHidden/>
                <w:sz w:val="28"/>
                <w:szCs w:val="28"/>
              </w:rPr>
              <w:instrText xml:space="preserve"> PAGEREF _Toc243923450 \h </w:instrText>
            </w:r>
            <w:r w:rsidRPr="00E406BE">
              <w:rPr>
                <w:rFonts w:ascii="Arial" w:hAnsi="Arial" w:cs="Arial"/>
                <w:noProof/>
                <w:webHidden/>
                <w:sz w:val="28"/>
                <w:szCs w:val="28"/>
              </w:rPr>
            </w:r>
            <w:r w:rsidRPr="00E406BE">
              <w:rPr>
                <w:rFonts w:ascii="Arial" w:hAnsi="Arial" w:cs="Arial"/>
                <w:noProof/>
                <w:webHidden/>
                <w:sz w:val="28"/>
                <w:szCs w:val="28"/>
              </w:rPr>
              <w:fldChar w:fldCharType="separate"/>
            </w:r>
            <w:r w:rsidRPr="00E406BE">
              <w:rPr>
                <w:rFonts w:ascii="Arial" w:hAnsi="Arial" w:cs="Arial"/>
                <w:noProof/>
                <w:webHidden/>
                <w:sz w:val="28"/>
                <w:szCs w:val="28"/>
              </w:rPr>
              <w:t>189</w:t>
            </w:r>
            <w:r w:rsidRPr="00E406BE">
              <w:rPr>
                <w:rFonts w:ascii="Arial" w:hAnsi="Arial" w:cs="Arial"/>
                <w:noProof/>
                <w:webHidden/>
                <w:sz w:val="28"/>
                <w:szCs w:val="28"/>
              </w:rPr>
              <w:fldChar w:fldCharType="end"/>
            </w:r>
          </w:hyperlink>
        </w:p>
        <w:p w14:paraId="3DAE00CD" w14:textId="73863867" w:rsidR="00E406BE" w:rsidRPr="00E406BE" w:rsidRDefault="00E406BE">
          <w:pPr>
            <w:pStyle w:val="TOC3"/>
            <w:tabs>
              <w:tab w:val="right" w:leader="dot" w:pos="9350"/>
            </w:tabs>
            <w:rPr>
              <w:rFonts w:ascii="Arial" w:eastAsiaTheme="minorEastAsia" w:hAnsi="Arial" w:cs="Arial"/>
              <w:noProof/>
              <w:kern w:val="2"/>
              <w:sz w:val="28"/>
              <w:szCs w:val="28"/>
              <w14:ligatures w14:val="standardContextual"/>
            </w:rPr>
          </w:pPr>
          <w:hyperlink w:anchor="_Toc243923451" w:history="1">
            <w:r w:rsidRPr="00E406BE">
              <w:rPr>
                <w:rStyle w:val="Hyperlink"/>
                <w:rFonts w:ascii="Arial" w:eastAsia="Calibri" w:hAnsi="Arial" w:cs="Arial"/>
                <w:noProof/>
                <w:sz w:val="28"/>
                <w:szCs w:val="28"/>
              </w:rPr>
              <w:t>Positionality</w:t>
            </w:r>
            <w:r w:rsidRPr="00E406BE">
              <w:rPr>
                <w:rFonts w:ascii="Arial" w:hAnsi="Arial" w:cs="Arial"/>
                <w:noProof/>
                <w:webHidden/>
                <w:sz w:val="28"/>
                <w:szCs w:val="28"/>
              </w:rPr>
              <w:tab/>
            </w:r>
            <w:r w:rsidRPr="00E406BE">
              <w:rPr>
                <w:rFonts w:ascii="Arial" w:hAnsi="Arial" w:cs="Arial"/>
                <w:noProof/>
                <w:webHidden/>
                <w:sz w:val="28"/>
                <w:szCs w:val="28"/>
              </w:rPr>
              <w:fldChar w:fldCharType="begin"/>
            </w:r>
            <w:r w:rsidRPr="00E406BE">
              <w:rPr>
                <w:rFonts w:ascii="Arial" w:hAnsi="Arial" w:cs="Arial"/>
                <w:noProof/>
                <w:webHidden/>
                <w:sz w:val="28"/>
                <w:szCs w:val="28"/>
              </w:rPr>
              <w:instrText xml:space="preserve"> PAGEREF _Toc243923451 \h </w:instrText>
            </w:r>
            <w:r w:rsidRPr="00E406BE">
              <w:rPr>
                <w:rFonts w:ascii="Arial" w:hAnsi="Arial" w:cs="Arial"/>
                <w:noProof/>
                <w:webHidden/>
                <w:sz w:val="28"/>
                <w:szCs w:val="28"/>
              </w:rPr>
            </w:r>
            <w:r w:rsidRPr="00E406BE">
              <w:rPr>
                <w:rFonts w:ascii="Arial" w:hAnsi="Arial" w:cs="Arial"/>
                <w:noProof/>
                <w:webHidden/>
                <w:sz w:val="28"/>
                <w:szCs w:val="28"/>
              </w:rPr>
              <w:fldChar w:fldCharType="separate"/>
            </w:r>
            <w:r w:rsidRPr="00E406BE">
              <w:rPr>
                <w:rFonts w:ascii="Arial" w:hAnsi="Arial" w:cs="Arial"/>
                <w:noProof/>
                <w:webHidden/>
                <w:sz w:val="28"/>
                <w:szCs w:val="28"/>
              </w:rPr>
              <w:t>190</w:t>
            </w:r>
            <w:r w:rsidRPr="00E406BE">
              <w:rPr>
                <w:rFonts w:ascii="Arial" w:hAnsi="Arial" w:cs="Arial"/>
                <w:noProof/>
                <w:webHidden/>
                <w:sz w:val="28"/>
                <w:szCs w:val="28"/>
              </w:rPr>
              <w:fldChar w:fldCharType="end"/>
            </w:r>
          </w:hyperlink>
        </w:p>
        <w:p w14:paraId="57619F20" w14:textId="409E913B" w:rsidR="00E406BE" w:rsidRPr="00E406BE" w:rsidRDefault="00E406BE">
          <w:pPr>
            <w:pStyle w:val="TOC3"/>
            <w:tabs>
              <w:tab w:val="right" w:leader="dot" w:pos="9350"/>
            </w:tabs>
            <w:rPr>
              <w:rFonts w:ascii="Arial" w:eastAsiaTheme="minorEastAsia" w:hAnsi="Arial" w:cs="Arial"/>
              <w:noProof/>
              <w:kern w:val="2"/>
              <w:sz w:val="28"/>
              <w:szCs w:val="28"/>
              <w14:ligatures w14:val="standardContextual"/>
            </w:rPr>
          </w:pPr>
          <w:hyperlink w:anchor="_Toc243923452" w:history="1">
            <w:r w:rsidRPr="00E406BE">
              <w:rPr>
                <w:rStyle w:val="Hyperlink"/>
                <w:rFonts w:ascii="Arial" w:eastAsia="Calibri" w:hAnsi="Arial" w:cs="Arial"/>
                <w:noProof/>
                <w:sz w:val="28"/>
                <w:szCs w:val="28"/>
              </w:rPr>
              <w:t>Five-minute reflection: our positionality</w:t>
            </w:r>
            <w:r w:rsidRPr="00E406BE">
              <w:rPr>
                <w:rFonts w:ascii="Arial" w:hAnsi="Arial" w:cs="Arial"/>
                <w:noProof/>
                <w:webHidden/>
                <w:sz w:val="28"/>
                <w:szCs w:val="28"/>
              </w:rPr>
              <w:tab/>
            </w:r>
            <w:r w:rsidRPr="00E406BE">
              <w:rPr>
                <w:rFonts w:ascii="Arial" w:hAnsi="Arial" w:cs="Arial"/>
                <w:noProof/>
                <w:webHidden/>
                <w:sz w:val="28"/>
                <w:szCs w:val="28"/>
              </w:rPr>
              <w:fldChar w:fldCharType="begin"/>
            </w:r>
            <w:r w:rsidRPr="00E406BE">
              <w:rPr>
                <w:rFonts w:ascii="Arial" w:hAnsi="Arial" w:cs="Arial"/>
                <w:noProof/>
                <w:webHidden/>
                <w:sz w:val="28"/>
                <w:szCs w:val="28"/>
              </w:rPr>
              <w:instrText xml:space="preserve"> PAGEREF _Toc243923452 \h </w:instrText>
            </w:r>
            <w:r w:rsidRPr="00E406BE">
              <w:rPr>
                <w:rFonts w:ascii="Arial" w:hAnsi="Arial" w:cs="Arial"/>
                <w:noProof/>
                <w:webHidden/>
                <w:sz w:val="28"/>
                <w:szCs w:val="28"/>
              </w:rPr>
            </w:r>
            <w:r w:rsidRPr="00E406BE">
              <w:rPr>
                <w:rFonts w:ascii="Arial" w:hAnsi="Arial" w:cs="Arial"/>
                <w:noProof/>
                <w:webHidden/>
                <w:sz w:val="28"/>
                <w:szCs w:val="28"/>
              </w:rPr>
              <w:fldChar w:fldCharType="separate"/>
            </w:r>
            <w:r w:rsidRPr="00E406BE">
              <w:rPr>
                <w:rFonts w:ascii="Arial" w:hAnsi="Arial" w:cs="Arial"/>
                <w:noProof/>
                <w:webHidden/>
                <w:sz w:val="28"/>
                <w:szCs w:val="28"/>
              </w:rPr>
              <w:t>191</w:t>
            </w:r>
            <w:r w:rsidRPr="00E406BE">
              <w:rPr>
                <w:rFonts w:ascii="Arial" w:hAnsi="Arial" w:cs="Arial"/>
                <w:noProof/>
                <w:webHidden/>
                <w:sz w:val="28"/>
                <w:szCs w:val="28"/>
              </w:rPr>
              <w:fldChar w:fldCharType="end"/>
            </w:r>
          </w:hyperlink>
        </w:p>
        <w:p w14:paraId="5722629E" w14:textId="262A7C58" w:rsidR="00E406BE" w:rsidRPr="00E406BE" w:rsidRDefault="00E406BE">
          <w:pPr>
            <w:pStyle w:val="TOC3"/>
            <w:tabs>
              <w:tab w:val="right" w:leader="dot" w:pos="9350"/>
            </w:tabs>
            <w:rPr>
              <w:rFonts w:ascii="Arial" w:eastAsiaTheme="minorEastAsia" w:hAnsi="Arial" w:cs="Arial"/>
              <w:noProof/>
              <w:kern w:val="2"/>
              <w:sz w:val="28"/>
              <w:szCs w:val="28"/>
              <w14:ligatures w14:val="standardContextual"/>
            </w:rPr>
          </w:pPr>
          <w:hyperlink w:anchor="_Toc243923453" w:history="1">
            <w:r w:rsidRPr="00E406BE">
              <w:rPr>
                <w:rStyle w:val="Hyperlink"/>
                <w:rFonts w:ascii="Arial" w:eastAsia="Calibri" w:hAnsi="Arial" w:cs="Arial"/>
                <w:noProof/>
                <w:sz w:val="28"/>
                <w:szCs w:val="28"/>
              </w:rPr>
              <w:t>Relational accountability</w:t>
            </w:r>
            <w:r w:rsidRPr="00E406BE">
              <w:rPr>
                <w:rFonts w:ascii="Arial" w:hAnsi="Arial" w:cs="Arial"/>
                <w:noProof/>
                <w:webHidden/>
                <w:sz w:val="28"/>
                <w:szCs w:val="28"/>
              </w:rPr>
              <w:tab/>
            </w:r>
            <w:r w:rsidRPr="00E406BE">
              <w:rPr>
                <w:rFonts w:ascii="Arial" w:hAnsi="Arial" w:cs="Arial"/>
                <w:noProof/>
                <w:webHidden/>
                <w:sz w:val="28"/>
                <w:szCs w:val="28"/>
              </w:rPr>
              <w:fldChar w:fldCharType="begin"/>
            </w:r>
            <w:r w:rsidRPr="00E406BE">
              <w:rPr>
                <w:rFonts w:ascii="Arial" w:hAnsi="Arial" w:cs="Arial"/>
                <w:noProof/>
                <w:webHidden/>
                <w:sz w:val="28"/>
                <w:szCs w:val="28"/>
              </w:rPr>
              <w:instrText xml:space="preserve"> PAGEREF _Toc243923453 \h </w:instrText>
            </w:r>
            <w:r w:rsidRPr="00E406BE">
              <w:rPr>
                <w:rFonts w:ascii="Arial" w:hAnsi="Arial" w:cs="Arial"/>
                <w:noProof/>
                <w:webHidden/>
                <w:sz w:val="28"/>
                <w:szCs w:val="28"/>
              </w:rPr>
            </w:r>
            <w:r w:rsidRPr="00E406BE">
              <w:rPr>
                <w:rFonts w:ascii="Arial" w:hAnsi="Arial" w:cs="Arial"/>
                <w:noProof/>
                <w:webHidden/>
                <w:sz w:val="28"/>
                <w:szCs w:val="28"/>
              </w:rPr>
              <w:fldChar w:fldCharType="separate"/>
            </w:r>
            <w:r w:rsidRPr="00E406BE">
              <w:rPr>
                <w:rFonts w:ascii="Arial" w:hAnsi="Arial" w:cs="Arial"/>
                <w:noProof/>
                <w:webHidden/>
                <w:sz w:val="28"/>
                <w:szCs w:val="28"/>
              </w:rPr>
              <w:t>192</w:t>
            </w:r>
            <w:r w:rsidRPr="00E406BE">
              <w:rPr>
                <w:rFonts w:ascii="Arial" w:hAnsi="Arial" w:cs="Arial"/>
                <w:noProof/>
                <w:webHidden/>
                <w:sz w:val="28"/>
                <w:szCs w:val="28"/>
              </w:rPr>
              <w:fldChar w:fldCharType="end"/>
            </w:r>
          </w:hyperlink>
        </w:p>
        <w:p w14:paraId="5D2E38FD" w14:textId="29E4379D" w:rsidR="00E406BE" w:rsidRPr="00E406BE" w:rsidRDefault="00E406BE">
          <w:pPr>
            <w:pStyle w:val="TOC3"/>
            <w:tabs>
              <w:tab w:val="right" w:leader="dot" w:pos="9350"/>
            </w:tabs>
            <w:rPr>
              <w:rFonts w:ascii="Arial" w:eastAsiaTheme="minorEastAsia" w:hAnsi="Arial" w:cs="Arial"/>
              <w:noProof/>
              <w:kern w:val="2"/>
              <w:sz w:val="28"/>
              <w:szCs w:val="28"/>
              <w14:ligatures w14:val="standardContextual"/>
            </w:rPr>
          </w:pPr>
          <w:hyperlink w:anchor="_Toc243923454" w:history="1">
            <w:r w:rsidRPr="00E406BE">
              <w:rPr>
                <w:rStyle w:val="Hyperlink"/>
                <w:rFonts w:ascii="Arial" w:eastAsia="Calibri" w:hAnsi="Arial" w:cs="Arial"/>
                <w:noProof/>
                <w:sz w:val="28"/>
                <w:szCs w:val="28"/>
              </w:rPr>
              <w:t>Co-design: “nothing about us without us”</w:t>
            </w:r>
            <w:r w:rsidRPr="00E406BE">
              <w:rPr>
                <w:rFonts w:ascii="Arial" w:hAnsi="Arial" w:cs="Arial"/>
                <w:noProof/>
                <w:webHidden/>
                <w:sz w:val="28"/>
                <w:szCs w:val="28"/>
              </w:rPr>
              <w:tab/>
            </w:r>
            <w:r w:rsidRPr="00E406BE">
              <w:rPr>
                <w:rFonts w:ascii="Arial" w:hAnsi="Arial" w:cs="Arial"/>
                <w:noProof/>
                <w:webHidden/>
                <w:sz w:val="28"/>
                <w:szCs w:val="28"/>
              </w:rPr>
              <w:fldChar w:fldCharType="begin"/>
            </w:r>
            <w:r w:rsidRPr="00E406BE">
              <w:rPr>
                <w:rFonts w:ascii="Arial" w:hAnsi="Arial" w:cs="Arial"/>
                <w:noProof/>
                <w:webHidden/>
                <w:sz w:val="28"/>
                <w:szCs w:val="28"/>
              </w:rPr>
              <w:instrText xml:space="preserve"> PAGEREF _Toc243923454 \h </w:instrText>
            </w:r>
            <w:r w:rsidRPr="00E406BE">
              <w:rPr>
                <w:rFonts w:ascii="Arial" w:hAnsi="Arial" w:cs="Arial"/>
                <w:noProof/>
                <w:webHidden/>
                <w:sz w:val="28"/>
                <w:szCs w:val="28"/>
              </w:rPr>
            </w:r>
            <w:r w:rsidRPr="00E406BE">
              <w:rPr>
                <w:rFonts w:ascii="Arial" w:hAnsi="Arial" w:cs="Arial"/>
                <w:noProof/>
                <w:webHidden/>
                <w:sz w:val="28"/>
                <w:szCs w:val="28"/>
              </w:rPr>
              <w:fldChar w:fldCharType="separate"/>
            </w:r>
            <w:r w:rsidRPr="00E406BE">
              <w:rPr>
                <w:rFonts w:ascii="Arial" w:hAnsi="Arial" w:cs="Arial"/>
                <w:noProof/>
                <w:webHidden/>
                <w:sz w:val="28"/>
                <w:szCs w:val="28"/>
              </w:rPr>
              <w:t>193</w:t>
            </w:r>
            <w:r w:rsidRPr="00E406BE">
              <w:rPr>
                <w:rFonts w:ascii="Arial" w:hAnsi="Arial" w:cs="Arial"/>
                <w:noProof/>
                <w:webHidden/>
                <w:sz w:val="28"/>
                <w:szCs w:val="28"/>
              </w:rPr>
              <w:fldChar w:fldCharType="end"/>
            </w:r>
          </w:hyperlink>
        </w:p>
        <w:p w14:paraId="514D29D6" w14:textId="4622010C" w:rsidR="00E406BE" w:rsidRPr="00E406BE" w:rsidRDefault="00E406BE">
          <w:pPr>
            <w:pStyle w:val="TOC3"/>
            <w:tabs>
              <w:tab w:val="right" w:leader="dot" w:pos="9350"/>
            </w:tabs>
            <w:rPr>
              <w:rFonts w:ascii="Arial" w:eastAsiaTheme="minorEastAsia" w:hAnsi="Arial" w:cs="Arial"/>
              <w:noProof/>
              <w:kern w:val="2"/>
              <w:sz w:val="28"/>
              <w:szCs w:val="28"/>
              <w14:ligatures w14:val="standardContextual"/>
            </w:rPr>
          </w:pPr>
          <w:hyperlink w:anchor="_Toc243923455" w:history="1">
            <w:r w:rsidRPr="00E406BE">
              <w:rPr>
                <w:rStyle w:val="Hyperlink"/>
                <w:rFonts w:ascii="Arial" w:eastAsia="Calibri" w:hAnsi="Arial" w:cs="Arial"/>
                <w:noProof/>
                <w:sz w:val="28"/>
                <w:szCs w:val="28"/>
              </w:rPr>
              <w:t>Participation is a spectrum</w:t>
            </w:r>
            <w:r w:rsidRPr="00E406BE">
              <w:rPr>
                <w:rFonts w:ascii="Arial" w:hAnsi="Arial" w:cs="Arial"/>
                <w:noProof/>
                <w:webHidden/>
                <w:sz w:val="28"/>
                <w:szCs w:val="28"/>
              </w:rPr>
              <w:tab/>
            </w:r>
            <w:r w:rsidRPr="00E406BE">
              <w:rPr>
                <w:rFonts w:ascii="Arial" w:hAnsi="Arial" w:cs="Arial"/>
                <w:noProof/>
                <w:webHidden/>
                <w:sz w:val="28"/>
                <w:szCs w:val="28"/>
              </w:rPr>
              <w:fldChar w:fldCharType="begin"/>
            </w:r>
            <w:r w:rsidRPr="00E406BE">
              <w:rPr>
                <w:rFonts w:ascii="Arial" w:hAnsi="Arial" w:cs="Arial"/>
                <w:noProof/>
                <w:webHidden/>
                <w:sz w:val="28"/>
                <w:szCs w:val="28"/>
              </w:rPr>
              <w:instrText xml:space="preserve"> PAGEREF _Toc243923455 \h </w:instrText>
            </w:r>
            <w:r w:rsidRPr="00E406BE">
              <w:rPr>
                <w:rFonts w:ascii="Arial" w:hAnsi="Arial" w:cs="Arial"/>
                <w:noProof/>
                <w:webHidden/>
                <w:sz w:val="28"/>
                <w:szCs w:val="28"/>
              </w:rPr>
            </w:r>
            <w:r w:rsidRPr="00E406BE">
              <w:rPr>
                <w:rFonts w:ascii="Arial" w:hAnsi="Arial" w:cs="Arial"/>
                <w:noProof/>
                <w:webHidden/>
                <w:sz w:val="28"/>
                <w:szCs w:val="28"/>
              </w:rPr>
              <w:fldChar w:fldCharType="separate"/>
            </w:r>
            <w:r w:rsidRPr="00E406BE">
              <w:rPr>
                <w:rFonts w:ascii="Arial" w:hAnsi="Arial" w:cs="Arial"/>
                <w:noProof/>
                <w:webHidden/>
                <w:sz w:val="28"/>
                <w:szCs w:val="28"/>
              </w:rPr>
              <w:t>194</w:t>
            </w:r>
            <w:r w:rsidRPr="00E406BE">
              <w:rPr>
                <w:rFonts w:ascii="Arial" w:hAnsi="Arial" w:cs="Arial"/>
                <w:noProof/>
                <w:webHidden/>
                <w:sz w:val="28"/>
                <w:szCs w:val="28"/>
              </w:rPr>
              <w:fldChar w:fldCharType="end"/>
            </w:r>
          </w:hyperlink>
        </w:p>
        <w:p w14:paraId="184ACE1C" w14:textId="090FAF75" w:rsidR="00E406BE" w:rsidRPr="00E406BE" w:rsidRDefault="00E406BE">
          <w:pPr>
            <w:pStyle w:val="TOC3"/>
            <w:tabs>
              <w:tab w:val="right" w:leader="dot" w:pos="9350"/>
            </w:tabs>
            <w:rPr>
              <w:rFonts w:ascii="Arial" w:eastAsiaTheme="minorEastAsia" w:hAnsi="Arial" w:cs="Arial"/>
              <w:noProof/>
              <w:kern w:val="2"/>
              <w:sz w:val="28"/>
              <w:szCs w:val="28"/>
              <w14:ligatures w14:val="standardContextual"/>
            </w:rPr>
          </w:pPr>
          <w:hyperlink w:anchor="_Toc243923456" w:history="1">
            <w:r w:rsidRPr="00E406BE">
              <w:rPr>
                <w:rStyle w:val="Hyperlink"/>
                <w:rFonts w:ascii="Arial" w:eastAsia="Calibri" w:hAnsi="Arial" w:cs="Arial"/>
                <w:noProof/>
                <w:sz w:val="28"/>
                <w:szCs w:val="28"/>
              </w:rPr>
              <w:t>The participation ladder</w:t>
            </w:r>
            <w:r w:rsidRPr="00E406BE">
              <w:rPr>
                <w:rFonts w:ascii="Arial" w:hAnsi="Arial" w:cs="Arial"/>
                <w:noProof/>
                <w:webHidden/>
                <w:sz w:val="28"/>
                <w:szCs w:val="28"/>
              </w:rPr>
              <w:tab/>
            </w:r>
            <w:r w:rsidRPr="00E406BE">
              <w:rPr>
                <w:rFonts w:ascii="Arial" w:hAnsi="Arial" w:cs="Arial"/>
                <w:noProof/>
                <w:webHidden/>
                <w:sz w:val="28"/>
                <w:szCs w:val="28"/>
              </w:rPr>
              <w:fldChar w:fldCharType="begin"/>
            </w:r>
            <w:r w:rsidRPr="00E406BE">
              <w:rPr>
                <w:rFonts w:ascii="Arial" w:hAnsi="Arial" w:cs="Arial"/>
                <w:noProof/>
                <w:webHidden/>
                <w:sz w:val="28"/>
                <w:szCs w:val="28"/>
              </w:rPr>
              <w:instrText xml:space="preserve"> PAGEREF _Toc243923456 \h </w:instrText>
            </w:r>
            <w:r w:rsidRPr="00E406BE">
              <w:rPr>
                <w:rFonts w:ascii="Arial" w:hAnsi="Arial" w:cs="Arial"/>
                <w:noProof/>
                <w:webHidden/>
                <w:sz w:val="28"/>
                <w:szCs w:val="28"/>
              </w:rPr>
            </w:r>
            <w:r w:rsidRPr="00E406BE">
              <w:rPr>
                <w:rFonts w:ascii="Arial" w:hAnsi="Arial" w:cs="Arial"/>
                <w:noProof/>
                <w:webHidden/>
                <w:sz w:val="28"/>
                <w:szCs w:val="28"/>
              </w:rPr>
              <w:fldChar w:fldCharType="separate"/>
            </w:r>
            <w:r w:rsidRPr="00E406BE">
              <w:rPr>
                <w:rFonts w:ascii="Arial" w:hAnsi="Arial" w:cs="Arial"/>
                <w:noProof/>
                <w:webHidden/>
                <w:sz w:val="28"/>
                <w:szCs w:val="28"/>
              </w:rPr>
              <w:t>195</w:t>
            </w:r>
            <w:r w:rsidRPr="00E406BE">
              <w:rPr>
                <w:rFonts w:ascii="Arial" w:hAnsi="Arial" w:cs="Arial"/>
                <w:noProof/>
                <w:webHidden/>
                <w:sz w:val="28"/>
                <w:szCs w:val="28"/>
              </w:rPr>
              <w:fldChar w:fldCharType="end"/>
            </w:r>
          </w:hyperlink>
        </w:p>
        <w:p w14:paraId="08D1DA12" w14:textId="3611323C" w:rsidR="00E406BE" w:rsidRPr="00E406BE" w:rsidRDefault="00E406BE">
          <w:pPr>
            <w:pStyle w:val="TOC3"/>
            <w:tabs>
              <w:tab w:val="right" w:leader="dot" w:pos="9350"/>
            </w:tabs>
            <w:rPr>
              <w:rFonts w:ascii="Arial" w:eastAsiaTheme="minorEastAsia" w:hAnsi="Arial" w:cs="Arial"/>
              <w:noProof/>
              <w:kern w:val="2"/>
              <w:sz w:val="28"/>
              <w:szCs w:val="28"/>
              <w14:ligatures w14:val="standardContextual"/>
            </w:rPr>
          </w:pPr>
          <w:hyperlink w:anchor="_Toc243923457" w:history="1">
            <w:r w:rsidRPr="00E406BE">
              <w:rPr>
                <w:rStyle w:val="Hyperlink"/>
                <w:rFonts w:ascii="Arial" w:eastAsia="Calibri" w:hAnsi="Arial" w:cs="Arial"/>
                <w:noProof/>
                <w:sz w:val="28"/>
                <w:szCs w:val="28"/>
              </w:rPr>
              <w:t>A practical participation check</w:t>
            </w:r>
            <w:r w:rsidRPr="00E406BE">
              <w:rPr>
                <w:rFonts w:ascii="Arial" w:hAnsi="Arial" w:cs="Arial"/>
                <w:noProof/>
                <w:webHidden/>
                <w:sz w:val="28"/>
                <w:szCs w:val="28"/>
              </w:rPr>
              <w:tab/>
            </w:r>
            <w:r w:rsidRPr="00E406BE">
              <w:rPr>
                <w:rFonts w:ascii="Arial" w:hAnsi="Arial" w:cs="Arial"/>
                <w:noProof/>
                <w:webHidden/>
                <w:sz w:val="28"/>
                <w:szCs w:val="28"/>
              </w:rPr>
              <w:fldChar w:fldCharType="begin"/>
            </w:r>
            <w:r w:rsidRPr="00E406BE">
              <w:rPr>
                <w:rFonts w:ascii="Arial" w:hAnsi="Arial" w:cs="Arial"/>
                <w:noProof/>
                <w:webHidden/>
                <w:sz w:val="28"/>
                <w:szCs w:val="28"/>
              </w:rPr>
              <w:instrText xml:space="preserve"> PAGEREF _Toc243923457 \h </w:instrText>
            </w:r>
            <w:r w:rsidRPr="00E406BE">
              <w:rPr>
                <w:rFonts w:ascii="Arial" w:hAnsi="Arial" w:cs="Arial"/>
                <w:noProof/>
                <w:webHidden/>
                <w:sz w:val="28"/>
                <w:szCs w:val="28"/>
              </w:rPr>
            </w:r>
            <w:r w:rsidRPr="00E406BE">
              <w:rPr>
                <w:rFonts w:ascii="Arial" w:hAnsi="Arial" w:cs="Arial"/>
                <w:noProof/>
                <w:webHidden/>
                <w:sz w:val="28"/>
                <w:szCs w:val="28"/>
              </w:rPr>
              <w:fldChar w:fldCharType="separate"/>
            </w:r>
            <w:r w:rsidRPr="00E406BE">
              <w:rPr>
                <w:rFonts w:ascii="Arial" w:hAnsi="Arial" w:cs="Arial"/>
                <w:noProof/>
                <w:webHidden/>
                <w:sz w:val="28"/>
                <w:szCs w:val="28"/>
              </w:rPr>
              <w:t>196</w:t>
            </w:r>
            <w:r w:rsidRPr="00E406BE">
              <w:rPr>
                <w:rFonts w:ascii="Arial" w:hAnsi="Arial" w:cs="Arial"/>
                <w:noProof/>
                <w:webHidden/>
                <w:sz w:val="28"/>
                <w:szCs w:val="28"/>
              </w:rPr>
              <w:fldChar w:fldCharType="end"/>
            </w:r>
          </w:hyperlink>
        </w:p>
        <w:p w14:paraId="75A7AC78" w14:textId="20A57BB4" w:rsidR="00E406BE" w:rsidRPr="00E406BE" w:rsidRDefault="00E406BE">
          <w:pPr>
            <w:pStyle w:val="TOC2"/>
            <w:tabs>
              <w:tab w:val="right" w:leader="dot" w:pos="9350"/>
            </w:tabs>
            <w:rPr>
              <w:rFonts w:ascii="Arial" w:eastAsiaTheme="minorEastAsia" w:hAnsi="Arial" w:cs="Arial"/>
              <w:noProof/>
              <w:kern w:val="2"/>
              <w:sz w:val="28"/>
              <w:szCs w:val="28"/>
              <w14:ligatures w14:val="standardContextual"/>
            </w:rPr>
          </w:pPr>
          <w:hyperlink w:anchor="_Toc243923458" w:history="1">
            <w:r w:rsidRPr="00E406BE">
              <w:rPr>
                <w:rStyle w:val="Hyperlink"/>
                <w:rFonts w:ascii="Arial" w:eastAsia="Calibri" w:hAnsi="Arial" w:cs="Arial"/>
                <w:noProof/>
                <w:sz w:val="28"/>
                <w:szCs w:val="28"/>
              </w:rPr>
              <w:t>Appendix C. Inclusive Leadership Foundations – Session 2: Leading Across Differences</w:t>
            </w:r>
            <w:r w:rsidRPr="00E406BE">
              <w:rPr>
                <w:rFonts w:ascii="Arial" w:hAnsi="Arial" w:cs="Arial"/>
                <w:noProof/>
                <w:webHidden/>
                <w:sz w:val="28"/>
                <w:szCs w:val="28"/>
              </w:rPr>
              <w:tab/>
            </w:r>
            <w:r w:rsidRPr="00E406BE">
              <w:rPr>
                <w:rFonts w:ascii="Arial" w:hAnsi="Arial" w:cs="Arial"/>
                <w:noProof/>
                <w:webHidden/>
                <w:sz w:val="28"/>
                <w:szCs w:val="28"/>
              </w:rPr>
              <w:fldChar w:fldCharType="begin"/>
            </w:r>
            <w:r w:rsidRPr="00E406BE">
              <w:rPr>
                <w:rFonts w:ascii="Arial" w:hAnsi="Arial" w:cs="Arial"/>
                <w:noProof/>
                <w:webHidden/>
                <w:sz w:val="28"/>
                <w:szCs w:val="28"/>
              </w:rPr>
              <w:instrText xml:space="preserve"> PAGEREF _Toc243923458 \h </w:instrText>
            </w:r>
            <w:r w:rsidRPr="00E406BE">
              <w:rPr>
                <w:rFonts w:ascii="Arial" w:hAnsi="Arial" w:cs="Arial"/>
                <w:noProof/>
                <w:webHidden/>
                <w:sz w:val="28"/>
                <w:szCs w:val="28"/>
              </w:rPr>
            </w:r>
            <w:r w:rsidRPr="00E406BE">
              <w:rPr>
                <w:rFonts w:ascii="Arial" w:hAnsi="Arial" w:cs="Arial"/>
                <w:noProof/>
                <w:webHidden/>
                <w:sz w:val="28"/>
                <w:szCs w:val="28"/>
              </w:rPr>
              <w:fldChar w:fldCharType="separate"/>
            </w:r>
            <w:r w:rsidRPr="00E406BE">
              <w:rPr>
                <w:rFonts w:ascii="Arial" w:hAnsi="Arial" w:cs="Arial"/>
                <w:noProof/>
                <w:webHidden/>
                <w:sz w:val="28"/>
                <w:szCs w:val="28"/>
              </w:rPr>
              <w:t>197</w:t>
            </w:r>
            <w:r w:rsidRPr="00E406BE">
              <w:rPr>
                <w:rFonts w:ascii="Arial" w:hAnsi="Arial" w:cs="Arial"/>
                <w:noProof/>
                <w:webHidden/>
                <w:sz w:val="28"/>
                <w:szCs w:val="28"/>
              </w:rPr>
              <w:fldChar w:fldCharType="end"/>
            </w:r>
          </w:hyperlink>
        </w:p>
        <w:p w14:paraId="3C905FD2" w14:textId="713D89E7" w:rsidR="00E406BE" w:rsidRPr="00E406BE" w:rsidRDefault="00E406BE">
          <w:pPr>
            <w:pStyle w:val="TOC3"/>
            <w:tabs>
              <w:tab w:val="right" w:leader="dot" w:pos="9350"/>
            </w:tabs>
            <w:rPr>
              <w:rFonts w:ascii="Arial" w:eastAsiaTheme="minorEastAsia" w:hAnsi="Arial" w:cs="Arial"/>
              <w:noProof/>
              <w:kern w:val="2"/>
              <w:sz w:val="28"/>
              <w:szCs w:val="28"/>
              <w14:ligatures w14:val="standardContextual"/>
            </w:rPr>
          </w:pPr>
          <w:hyperlink w:anchor="_Toc243923459" w:history="1">
            <w:r w:rsidRPr="00E406BE">
              <w:rPr>
                <w:rStyle w:val="Hyperlink"/>
                <w:rFonts w:ascii="Arial" w:eastAsia="Calibri" w:hAnsi="Arial" w:cs="Arial"/>
                <w:noProof/>
                <w:sz w:val="28"/>
                <w:szCs w:val="28"/>
              </w:rPr>
              <w:t>Leading across differences</w:t>
            </w:r>
            <w:r w:rsidRPr="00E406BE">
              <w:rPr>
                <w:rFonts w:ascii="Arial" w:hAnsi="Arial" w:cs="Arial"/>
                <w:noProof/>
                <w:webHidden/>
                <w:sz w:val="28"/>
                <w:szCs w:val="28"/>
              </w:rPr>
              <w:tab/>
            </w:r>
            <w:r w:rsidRPr="00E406BE">
              <w:rPr>
                <w:rFonts w:ascii="Arial" w:hAnsi="Arial" w:cs="Arial"/>
                <w:noProof/>
                <w:webHidden/>
                <w:sz w:val="28"/>
                <w:szCs w:val="28"/>
              </w:rPr>
              <w:fldChar w:fldCharType="begin"/>
            </w:r>
            <w:r w:rsidRPr="00E406BE">
              <w:rPr>
                <w:rFonts w:ascii="Arial" w:hAnsi="Arial" w:cs="Arial"/>
                <w:noProof/>
                <w:webHidden/>
                <w:sz w:val="28"/>
                <w:szCs w:val="28"/>
              </w:rPr>
              <w:instrText xml:space="preserve"> PAGEREF _Toc243923459 \h </w:instrText>
            </w:r>
            <w:r w:rsidRPr="00E406BE">
              <w:rPr>
                <w:rFonts w:ascii="Arial" w:hAnsi="Arial" w:cs="Arial"/>
                <w:noProof/>
                <w:webHidden/>
                <w:sz w:val="28"/>
                <w:szCs w:val="28"/>
              </w:rPr>
            </w:r>
            <w:r w:rsidRPr="00E406BE">
              <w:rPr>
                <w:rFonts w:ascii="Arial" w:hAnsi="Arial" w:cs="Arial"/>
                <w:noProof/>
                <w:webHidden/>
                <w:sz w:val="28"/>
                <w:szCs w:val="28"/>
              </w:rPr>
              <w:fldChar w:fldCharType="separate"/>
            </w:r>
            <w:r w:rsidRPr="00E406BE">
              <w:rPr>
                <w:rFonts w:ascii="Arial" w:hAnsi="Arial" w:cs="Arial"/>
                <w:noProof/>
                <w:webHidden/>
                <w:sz w:val="28"/>
                <w:szCs w:val="28"/>
              </w:rPr>
              <w:t>198</w:t>
            </w:r>
            <w:r w:rsidRPr="00E406BE">
              <w:rPr>
                <w:rFonts w:ascii="Arial" w:hAnsi="Arial" w:cs="Arial"/>
                <w:noProof/>
                <w:webHidden/>
                <w:sz w:val="28"/>
                <w:szCs w:val="28"/>
              </w:rPr>
              <w:fldChar w:fldCharType="end"/>
            </w:r>
          </w:hyperlink>
        </w:p>
        <w:p w14:paraId="09B8C83E" w14:textId="16C3E200" w:rsidR="00E406BE" w:rsidRPr="00E406BE" w:rsidRDefault="00E406BE">
          <w:pPr>
            <w:pStyle w:val="TOC3"/>
            <w:tabs>
              <w:tab w:val="right" w:leader="dot" w:pos="9350"/>
            </w:tabs>
            <w:rPr>
              <w:rFonts w:ascii="Arial" w:eastAsiaTheme="minorEastAsia" w:hAnsi="Arial" w:cs="Arial"/>
              <w:noProof/>
              <w:kern w:val="2"/>
              <w:sz w:val="28"/>
              <w:szCs w:val="28"/>
              <w14:ligatures w14:val="standardContextual"/>
            </w:rPr>
          </w:pPr>
          <w:hyperlink w:anchor="_Toc243923460" w:history="1">
            <w:r w:rsidRPr="00E406BE">
              <w:rPr>
                <w:rStyle w:val="Hyperlink"/>
                <w:rFonts w:ascii="Arial" w:eastAsia="Calibri" w:hAnsi="Arial" w:cs="Arial"/>
                <w:noProof/>
                <w:sz w:val="28"/>
                <w:szCs w:val="28"/>
              </w:rPr>
              <w:t>What shapes participation and voice?</w:t>
            </w:r>
            <w:r w:rsidRPr="00E406BE">
              <w:rPr>
                <w:rFonts w:ascii="Arial" w:hAnsi="Arial" w:cs="Arial"/>
                <w:noProof/>
                <w:webHidden/>
                <w:sz w:val="28"/>
                <w:szCs w:val="28"/>
              </w:rPr>
              <w:tab/>
            </w:r>
            <w:r w:rsidRPr="00E406BE">
              <w:rPr>
                <w:rFonts w:ascii="Arial" w:hAnsi="Arial" w:cs="Arial"/>
                <w:noProof/>
                <w:webHidden/>
                <w:sz w:val="28"/>
                <w:szCs w:val="28"/>
              </w:rPr>
              <w:fldChar w:fldCharType="begin"/>
            </w:r>
            <w:r w:rsidRPr="00E406BE">
              <w:rPr>
                <w:rFonts w:ascii="Arial" w:hAnsi="Arial" w:cs="Arial"/>
                <w:noProof/>
                <w:webHidden/>
                <w:sz w:val="28"/>
                <w:szCs w:val="28"/>
              </w:rPr>
              <w:instrText xml:space="preserve"> PAGEREF _Toc243923460 \h </w:instrText>
            </w:r>
            <w:r w:rsidRPr="00E406BE">
              <w:rPr>
                <w:rFonts w:ascii="Arial" w:hAnsi="Arial" w:cs="Arial"/>
                <w:noProof/>
                <w:webHidden/>
                <w:sz w:val="28"/>
                <w:szCs w:val="28"/>
              </w:rPr>
            </w:r>
            <w:r w:rsidRPr="00E406BE">
              <w:rPr>
                <w:rFonts w:ascii="Arial" w:hAnsi="Arial" w:cs="Arial"/>
                <w:noProof/>
                <w:webHidden/>
                <w:sz w:val="28"/>
                <w:szCs w:val="28"/>
              </w:rPr>
              <w:fldChar w:fldCharType="separate"/>
            </w:r>
            <w:r w:rsidRPr="00E406BE">
              <w:rPr>
                <w:rFonts w:ascii="Arial" w:hAnsi="Arial" w:cs="Arial"/>
                <w:noProof/>
                <w:webHidden/>
                <w:sz w:val="28"/>
                <w:szCs w:val="28"/>
              </w:rPr>
              <w:t>199</w:t>
            </w:r>
            <w:r w:rsidRPr="00E406BE">
              <w:rPr>
                <w:rFonts w:ascii="Arial" w:hAnsi="Arial" w:cs="Arial"/>
                <w:noProof/>
                <w:webHidden/>
                <w:sz w:val="28"/>
                <w:szCs w:val="28"/>
              </w:rPr>
              <w:fldChar w:fldCharType="end"/>
            </w:r>
          </w:hyperlink>
        </w:p>
        <w:p w14:paraId="10E6BAE8" w14:textId="6EFCDB95" w:rsidR="00E406BE" w:rsidRPr="00E406BE" w:rsidRDefault="00E406BE">
          <w:pPr>
            <w:pStyle w:val="TOC3"/>
            <w:tabs>
              <w:tab w:val="right" w:leader="dot" w:pos="9350"/>
            </w:tabs>
            <w:rPr>
              <w:rFonts w:ascii="Arial" w:eastAsiaTheme="minorEastAsia" w:hAnsi="Arial" w:cs="Arial"/>
              <w:noProof/>
              <w:kern w:val="2"/>
              <w:sz w:val="28"/>
              <w:szCs w:val="28"/>
              <w14:ligatures w14:val="standardContextual"/>
            </w:rPr>
          </w:pPr>
          <w:hyperlink w:anchor="_Toc243923461" w:history="1">
            <w:r w:rsidRPr="00E406BE">
              <w:rPr>
                <w:rStyle w:val="Hyperlink"/>
                <w:rFonts w:ascii="Arial" w:eastAsia="Calibri" w:hAnsi="Arial" w:cs="Arial"/>
                <w:noProof/>
                <w:sz w:val="28"/>
                <w:szCs w:val="28"/>
              </w:rPr>
              <w:t>Leadership accountability</w:t>
            </w:r>
            <w:r w:rsidRPr="00E406BE">
              <w:rPr>
                <w:rFonts w:ascii="Arial" w:hAnsi="Arial" w:cs="Arial"/>
                <w:noProof/>
                <w:webHidden/>
                <w:sz w:val="28"/>
                <w:szCs w:val="28"/>
              </w:rPr>
              <w:tab/>
            </w:r>
            <w:r w:rsidRPr="00E406BE">
              <w:rPr>
                <w:rFonts w:ascii="Arial" w:hAnsi="Arial" w:cs="Arial"/>
                <w:noProof/>
                <w:webHidden/>
                <w:sz w:val="28"/>
                <w:szCs w:val="28"/>
              </w:rPr>
              <w:fldChar w:fldCharType="begin"/>
            </w:r>
            <w:r w:rsidRPr="00E406BE">
              <w:rPr>
                <w:rFonts w:ascii="Arial" w:hAnsi="Arial" w:cs="Arial"/>
                <w:noProof/>
                <w:webHidden/>
                <w:sz w:val="28"/>
                <w:szCs w:val="28"/>
              </w:rPr>
              <w:instrText xml:space="preserve"> PAGEREF _Toc243923461 \h </w:instrText>
            </w:r>
            <w:r w:rsidRPr="00E406BE">
              <w:rPr>
                <w:rFonts w:ascii="Arial" w:hAnsi="Arial" w:cs="Arial"/>
                <w:noProof/>
                <w:webHidden/>
                <w:sz w:val="28"/>
                <w:szCs w:val="28"/>
              </w:rPr>
            </w:r>
            <w:r w:rsidRPr="00E406BE">
              <w:rPr>
                <w:rFonts w:ascii="Arial" w:hAnsi="Arial" w:cs="Arial"/>
                <w:noProof/>
                <w:webHidden/>
                <w:sz w:val="28"/>
                <w:szCs w:val="28"/>
              </w:rPr>
              <w:fldChar w:fldCharType="separate"/>
            </w:r>
            <w:r w:rsidRPr="00E406BE">
              <w:rPr>
                <w:rFonts w:ascii="Arial" w:hAnsi="Arial" w:cs="Arial"/>
                <w:noProof/>
                <w:webHidden/>
                <w:sz w:val="28"/>
                <w:szCs w:val="28"/>
              </w:rPr>
              <w:t>200</w:t>
            </w:r>
            <w:r w:rsidRPr="00E406BE">
              <w:rPr>
                <w:rFonts w:ascii="Arial" w:hAnsi="Arial" w:cs="Arial"/>
                <w:noProof/>
                <w:webHidden/>
                <w:sz w:val="28"/>
                <w:szCs w:val="28"/>
              </w:rPr>
              <w:fldChar w:fldCharType="end"/>
            </w:r>
          </w:hyperlink>
        </w:p>
        <w:p w14:paraId="7E9D1B96" w14:textId="6A0323A1" w:rsidR="00E406BE" w:rsidRPr="00E406BE" w:rsidRDefault="00E406BE">
          <w:pPr>
            <w:pStyle w:val="TOC3"/>
            <w:tabs>
              <w:tab w:val="right" w:leader="dot" w:pos="9350"/>
            </w:tabs>
            <w:rPr>
              <w:rFonts w:ascii="Arial" w:eastAsiaTheme="minorEastAsia" w:hAnsi="Arial" w:cs="Arial"/>
              <w:noProof/>
              <w:kern w:val="2"/>
              <w:sz w:val="28"/>
              <w:szCs w:val="28"/>
              <w14:ligatures w14:val="standardContextual"/>
            </w:rPr>
          </w:pPr>
          <w:hyperlink w:anchor="_Toc243923462" w:history="1">
            <w:r w:rsidRPr="00E406BE">
              <w:rPr>
                <w:rStyle w:val="Hyperlink"/>
                <w:rFonts w:ascii="Arial" w:eastAsia="Calibri" w:hAnsi="Arial" w:cs="Arial"/>
                <w:noProof/>
                <w:sz w:val="28"/>
                <w:szCs w:val="28"/>
              </w:rPr>
              <w:t>Accountability ladder (1)</w:t>
            </w:r>
            <w:r w:rsidRPr="00E406BE">
              <w:rPr>
                <w:rFonts w:ascii="Arial" w:hAnsi="Arial" w:cs="Arial"/>
                <w:noProof/>
                <w:webHidden/>
                <w:sz w:val="28"/>
                <w:szCs w:val="28"/>
              </w:rPr>
              <w:tab/>
            </w:r>
            <w:r w:rsidRPr="00E406BE">
              <w:rPr>
                <w:rFonts w:ascii="Arial" w:hAnsi="Arial" w:cs="Arial"/>
                <w:noProof/>
                <w:webHidden/>
                <w:sz w:val="28"/>
                <w:szCs w:val="28"/>
              </w:rPr>
              <w:fldChar w:fldCharType="begin"/>
            </w:r>
            <w:r w:rsidRPr="00E406BE">
              <w:rPr>
                <w:rFonts w:ascii="Arial" w:hAnsi="Arial" w:cs="Arial"/>
                <w:noProof/>
                <w:webHidden/>
                <w:sz w:val="28"/>
                <w:szCs w:val="28"/>
              </w:rPr>
              <w:instrText xml:space="preserve"> PAGEREF _Toc243923462 \h </w:instrText>
            </w:r>
            <w:r w:rsidRPr="00E406BE">
              <w:rPr>
                <w:rFonts w:ascii="Arial" w:hAnsi="Arial" w:cs="Arial"/>
                <w:noProof/>
                <w:webHidden/>
                <w:sz w:val="28"/>
                <w:szCs w:val="28"/>
              </w:rPr>
            </w:r>
            <w:r w:rsidRPr="00E406BE">
              <w:rPr>
                <w:rFonts w:ascii="Arial" w:hAnsi="Arial" w:cs="Arial"/>
                <w:noProof/>
                <w:webHidden/>
                <w:sz w:val="28"/>
                <w:szCs w:val="28"/>
              </w:rPr>
              <w:fldChar w:fldCharType="separate"/>
            </w:r>
            <w:r w:rsidRPr="00E406BE">
              <w:rPr>
                <w:rFonts w:ascii="Arial" w:hAnsi="Arial" w:cs="Arial"/>
                <w:noProof/>
                <w:webHidden/>
                <w:sz w:val="28"/>
                <w:szCs w:val="28"/>
              </w:rPr>
              <w:t>201</w:t>
            </w:r>
            <w:r w:rsidRPr="00E406BE">
              <w:rPr>
                <w:rFonts w:ascii="Arial" w:hAnsi="Arial" w:cs="Arial"/>
                <w:noProof/>
                <w:webHidden/>
                <w:sz w:val="28"/>
                <w:szCs w:val="28"/>
              </w:rPr>
              <w:fldChar w:fldCharType="end"/>
            </w:r>
          </w:hyperlink>
        </w:p>
        <w:p w14:paraId="6C384A5E" w14:textId="1F7BAEFB" w:rsidR="00E406BE" w:rsidRPr="00E406BE" w:rsidRDefault="00E406BE">
          <w:pPr>
            <w:pStyle w:val="TOC3"/>
            <w:tabs>
              <w:tab w:val="right" w:leader="dot" w:pos="9350"/>
            </w:tabs>
            <w:rPr>
              <w:rFonts w:ascii="Arial" w:eastAsiaTheme="minorEastAsia" w:hAnsi="Arial" w:cs="Arial"/>
              <w:noProof/>
              <w:kern w:val="2"/>
              <w:sz w:val="28"/>
              <w:szCs w:val="28"/>
              <w14:ligatures w14:val="standardContextual"/>
            </w:rPr>
          </w:pPr>
          <w:hyperlink w:anchor="_Toc243923463" w:history="1">
            <w:r w:rsidRPr="00E406BE">
              <w:rPr>
                <w:rStyle w:val="Hyperlink"/>
                <w:rFonts w:ascii="Arial" w:eastAsia="Calibri" w:hAnsi="Arial" w:cs="Arial"/>
                <w:noProof/>
                <w:sz w:val="28"/>
                <w:szCs w:val="28"/>
              </w:rPr>
              <w:t>Accountability ladder (2)</w:t>
            </w:r>
            <w:r w:rsidRPr="00E406BE">
              <w:rPr>
                <w:rFonts w:ascii="Arial" w:hAnsi="Arial" w:cs="Arial"/>
                <w:noProof/>
                <w:webHidden/>
                <w:sz w:val="28"/>
                <w:szCs w:val="28"/>
              </w:rPr>
              <w:tab/>
            </w:r>
            <w:r w:rsidRPr="00E406BE">
              <w:rPr>
                <w:rFonts w:ascii="Arial" w:hAnsi="Arial" w:cs="Arial"/>
                <w:noProof/>
                <w:webHidden/>
                <w:sz w:val="28"/>
                <w:szCs w:val="28"/>
              </w:rPr>
              <w:fldChar w:fldCharType="begin"/>
            </w:r>
            <w:r w:rsidRPr="00E406BE">
              <w:rPr>
                <w:rFonts w:ascii="Arial" w:hAnsi="Arial" w:cs="Arial"/>
                <w:noProof/>
                <w:webHidden/>
                <w:sz w:val="28"/>
                <w:szCs w:val="28"/>
              </w:rPr>
              <w:instrText xml:space="preserve"> PAGEREF _Toc243923463 \h </w:instrText>
            </w:r>
            <w:r w:rsidRPr="00E406BE">
              <w:rPr>
                <w:rFonts w:ascii="Arial" w:hAnsi="Arial" w:cs="Arial"/>
                <w:noProof/>
                <w:webHidden/>
                <w:sz w:val="28"/>
                <w:szCs w:val="28"/>
              </w:rPr>
            </w:r>
            <w:r w:rsidRPr="00E406BE">
              <w:rPr>
                <w:rFonts w:ascii="Arial" w:hAnsi="Arial" w:cs="Arial"/>
                <w:noProof/>
                <w:webHidden/>
                <w:sz w:val="28"/>
                <w:szCs w:val="28"/>
              </w:rPr>
              <w:fldChar w:fldCharType="separate"/>
            </w:r>
            <w:r w:rsidRPr="00E406BE">
              <w:rPr>
                <w:rFonts w:ascii="Arial" w:hAnsi="Arial" w:cs="Arial"/>
                <w:noProof/>
                <w:webHidden/>
                <w:sz w:val="28"/>
                <w:szCs w:val="28"/>
              </w:rPr>
              <w:t>202</w:t>
            </w:r>
            <w:r w:rsidRPr="00E406BE">
              <w:rPr>
                <w:rFonts w:ascii="Arial" w:hAnsi="Arial" w:cs="Arial"/>
                <w:noProof/>
                <w:webHidden/>
                <w:sz w:val="28"/>
                <w:szCs w:val="28"/>
              </w:rPr>
              <w:fldChar w:fldCharType="end"/>
            </w:r>
          </w:hyperlink>
        </w:p>
        <w:p w14:paraId="4689E22C" w14:textId="52A75BF9" w:rsidR="00E406BE" w:rsidRPr="00E406BE" w:rsidRDefault="00E406BE">
          <w:pPr>
            <w:pStyle w:val="TOC3"/>
            <w:tabs>
              <w:tab w:val="right" w:leader="dot" w:pos="9350"/>
            </w:tabs>
            <w:rPr>
              <w:rFonts w:ascii="Arial" w:eastAsiaTheme="minorEastAsia" w:hAnsi="Arial" w:cs="Arial"/>
              <w:noProof/>
              <w:kern w:val="2"/>
              <w:sz w:val="28"/>
              <w:szCs w:val="28"/>
              <w14:ligatures w14:val="standardContextual"/>
            </w:rPr>
          </w:pPr>
          <w:hyperlink w:anchor="_Toc243923464" w:history="1">
            <w:r w:rsidRPr="00E406BE">
              <w:rPr>
                <w:rStyle w:val="Hyperlink"/>
                <w:rFonts w:ascii="Arial" w:eastAsia="Calibri" w:hAnsi="Arial" w:cs="Arial"/>
                <w:noProof/>
                <w:sz w:val="28"/>
                <w:szCs w:val="28"/>
              </w:rPr>
              <w:t>Leaders are not neutral bystanders</w:t>
            </w:r>
            <w:r w:rsidRPr="00E406BE">
              <w:rPr>
                <w:rFonts w:ascii="Arial" w:hAnsi="Arial" w:cs="Arial"/>
                <w:noProof/>
                <w:webHidden/>
                <w:sz w:val="28"/>
                <w:szCs w:val="28"/>
              </w:rPr>
              <w:tab/>
            </w:r>
            <w:r w:rsidRPr="00E406BE">
              <w:rPr>
                <w:rFonts w:ascii="Arial" w:hAnsi="Arial" w:cs="Arial"/>
                <w:noProof/>
                <w:webHidden/>
                <w:sz w:val="28"/>
                <w:szCs w:val="28"/>
              </w:rPr>
              <w:fldChar w:fldCharType="begin"/>
            </w:r>
            <w:r w:rsidRPr="00E406BE">
              <w:rPr>
                <w:rFonts w:ascii="Arial" w:hAnsi="Arial" w:cs="Arial"/>
                <w:noProof/>
                <w:webHidden/>
                <w:sz w:val="28"/>
                <w:szCs w:val="28"/>
              </w:rPr>
              <w:instrText xml:space="preserve"> PAGEREF _Toc243923464 \h </w:instrText>
            </w:r>
            <w:r w:rsidRPr="00E406BE">
              <w:rPr>
                <w:rFonts w:ascii="Arial" w:hAnsi="Arial" w:cs="Arial"/>
                <w:noProof/>
                <w:webHidden/>
                <w:sz w:val="28"/>
                <w:szCs w:val="28"/>
              </w:rPr>
            </w:r>
            <w:r w:rsidRPr="00E406BE">
              <w:rPr>
                <w:rFonts w:ascii="Arial" w:hAnsi="Arial" w:cs="Arial"/>
                <w:noProof/>
                <w:webHidden/>
                <w:sz w:val="28"/>
                <w:szCs w:val="28"/>
              </w:rPr>
              <w:fldChar w:fldCharType="separate"/>
            </w:r>
            <w:r w:rsidRPr="00E406BE">
              <w:rPr>
                <w:rFonts w:ascii="Arial" w:hAnsi="Arial" w:cs="Arial"/>
                <w:noProof/>
                <w:webHidden/>
                <w:sz w:val="28"/>
                <w:szCs w:val="28"/>
              </w:rPr>
              <w:t>203</w:t>
            </w:r>
            <w:r w:rsidRPr="00E406BE">
              <w:rPr>
                <w:rFonts w:ascii="Arial" w:hAnsi="Arial" w:cs="Arial"/>
                <w:noProof/>
                <w:webHidden/>
                <w:sz w:val="28"/>
                <w:szCs w:val="28"/>
              </w:rPr>
              <w:fldChar w:fldCharType="end"/>
            </w:r>
          </w:hyperlink>
        </w:p>
        <w:p w14:paraId="32B68CB9" w14:textId="48705B47" w:rsidR="00E406BE" w:rsidRPr="00E406BE" w:rsidRDefault="00E406BE">
          <w:pPr>
            <w:pStyle w:val="TOC3"/>
            <w:tabs>
              <w:tab w:val="right" w:leader="dot" w:pos="9350"/>
            </w:tabs>
            <w:rPr>
              <w:rFonts w:ascii="Arial" w:eastAsiaTheme="minorEastAsia" w:hAnsi="Arial" w:cs="Arial"/>
              <w:noProof/>
              <w:kern w:val="2"/>
              <w:sz w:val="28"/>
              <w:szCs w:val="28"/>
              <w14:ligatures w14:val="standardContextual"/>
            </w:rPr>
          </w:pPr>
          <w:hyperlink w:anchor="_Toc243923465" w:history="1">
            <w:r w:rsidRPr="00E406BE">
              <w:rPr>
                <w:rStyle w:val="Hyperlink"/>
                <w:rFonts w:ascii="Arial" w:eastAsia="Calibri" w:hAnsi="Arial" w:cs="Arial"/>
                <w:noProof/>
                <w:sz w:val="28"/>
                <w:szCs w:val="28"/>
              </w:rPr>
              <w:t>Upstander vs bystander intervention</w:t>
            </w:r>
            <w:r w:rsidRPr="00E406BE">
              <w:rPr>
                <w:rFonts w:ascii="Arial" w:hAnsi="Arial" w:cs="Arial"/>
                <w:noProof/>
                <w:webHidden/>
                <w:sz w:val="28"/>
                <w:szCs w:val="28"/>
              </w:rPr>
              <w:tab/>
            </w:r>
            <w:r w:rsidRPr="00E406BE">
              <w:rPr>
                <w:rFonts w:ascii="Arial" w:hAnsi="Arial" w:cs="Arial"/>
                <w:noProof/>
                <w:webHidden/>
                <w:sz w:val="28"/>
                <w:szCs w:val="28"/>
              </w:rPr>
              <w:fldChar w:fldCharType="begin"/>
            </w:r>
            <w:r w:rsidRPr="00E406BE">
              <w:rPr>
                <w:rFonts w:ascii="Arial" w:hAnsi="Arial" w:cs="Arial"/>
                <w:noProof/>
                <w:webHidden/>
                <w:sz w:val="28"/>
                <w:szCs w:val="28"/>
              </w:rPr>
              <w:instrText xml:space="preserve"> PAGEREF _Toc243923465 \h </w:instrText>
            </w:r>
            <w:r w:rsidRPr="00E406BE">
              <w:rPr>
                <w:rFonts w:ascii="Arial" w:hAnsi="Arial" w:cs="Arial"/>
                <w:noProof/>
                <w:webHidden/>
                <w:sz w:val="28"/>
                <w:szCs w:val="28"/>
              </w:rPr>
            </w:r>
            <w:r w:rsidRPr="00E406BE">
              <w:rPr>
                <w:rFonts w:ascii="Arial" w:hAnsi="Arial" w:cs="Arial"/>
                <w:noProof/>
                <w:webHidden/>
                <w:sz w:val="28"/>
                <w:szCs w:val="28"/>
              </w:rPr>
              <w:fldChar w:fldCharType="separate"/>
            </w:r>
            <w:r w:rsidRPr="00E406BE">
              <w:rPr>
                <w:rFonts w:ascii="Arial" w:hAnsi="Arial" w:cs="Arial"/>
                <w:noProof/>
                <w:webHidden/>
                <w:sz w:val="28"/>
                <w:szCs w:val="28"/>
              </w:rPr>
              <w:t>204</w:t>
            </w:r>
            <w:r w:rsidRPr="00E406BE">
              <w:rPr>
                <w:rFonts w:ascii="Arial" w:hAnsi="Arial" w:cs="Arial"/>
                <w:noProof/>
                <w:webHidden/>
                <w:sz w:val="28"/>
                <w:szCs w:val="28"/>
              </w:rPr>
              <w:fldChar w:fldCharType="end"/>
            </w:r>
          </w:hyperlink>
        </w:p>
        <w:p w14:paraId="20416DC6" w14:textId="2AAFD159" w:rsidR="00E406BE" w:rsidRPr="00E406BE" w:rsidRDefault="00E406BE">
          <w:pPr>
            <w:pStyle w:val="TOC3"/>
            <w:tabs>
              <w:tab w:val="right" w:leader="dot" w:pos="9350"/>
            </w:tabs>
            <w:rPr>
              <w:rFonts w:ascii="Arial" w:eastAsiaTheme="minorEastAsia" w:hAnsi="Arial" w:cs="Arial"/>
              <w:noProof/>
              <w:kern w:val="2"/>
              <w:sz w:val="28"/>
              <w:szCs w:val="28"/>
              <w14:ligatures w14:val="standardContextual"/>
            </w:rPr>
          </w:pPr>
          <w:hyperlink w:anchor="_Toc243923466" w:history="1">
            <w:r w:rsidRPr="00E406BE">
              <w:rPr>
                <w:rStyle w:val="Hyperlink"/>
                <w:rFonts w:ascii="Arial" w:eastAsia="Calibri" w:hAnsi="Arial" w:cs="Arial"/>
                <w:noProof/>
                <w:sz w:val="28"/>
                <w:szCs w:val="28"/>
              </w:rPr>
              <w:t>Practical language for everyday moments</w:t>
            </w:r>
            <w:r w:rsidRPr="00E406BE">
              <w:rPr>
                <w:rFonts w:ascii="Arial" w:hAnsi="Arial" w:cs="Arial"/>
                <w:noProof/>
                <w:webHidden/>
                <w:sz w:val="28"/>
                <w:szCs w:val="28"/>
              </w:rPr>
              <w:tab/>
            </w:r>
            <w:r w:rsidRPr="00E406BE">
              <w:rPr>
                <w:rFonts w:ascii="Arial" w:hAnsi="Arial" w:cs="Arial"/>
                <w:noProof/>
                <w:webHidden/>
                <w:sz w:val="28"/>
                <w:szCs w:val="28"/>
              </w:rPr>
              <w:fldChar w:fldCharType="begin"/>
            </w:r>
            <w:r w:rsidRPr="00E406BE">
              <w:rPr>
                <w:rFonts w:ascii="Arial" w:hAnsi="Arial" w:cs="Arial"/>
                <w:noProof/>
                <w:webHidden/>
                <w:sz w:val="28"/>
                <w:szCs w:val="28"/>
              </w:rPr>
              <w:instrText xml:space="preserve"> PAGEREF _Toc243923466 \h </w:instrText>
            </w:r>
            <w:r w:rsidRPr="00E406BE">
              <w:rPr>
                <w:rFonts w:ascii="Arial" w:hAnsi="Arial" w:cs="Arial"/>
                <w:noProof/>
                <w:webHidden/>
                <w:sz w:val="28"/>
                <w:szCs w:val="28"/>
              </w:rPr>
            </w:r>
            <w:r w:rsidRPr="00E406BE">
              <w:rPr>
                <w:rFonts w:ascii="Arial" w:hAnsi="Arial" w:cs="Arial"/>
                <w:noProof/>
                <w:webHidden/>
                <w:sz w:val="28"/>
                <w:szCs w:val="28"/>
              </w:rPr>
              <w:fldChar w:fldCharType="separate"/>
            </w:r>
            <w:r w:rsidRPr="00E406BE">
              <w:rPr>
                <w:rFonts w:ascii="Arial" w:hAnsi="Arial" w:cs="Arial"/>
                <w:noProof/>
                <w:webHidden/>
                <w:sz w:val="28"/>
                <w:szCs w:val="28"/>
              </w:rPr>
              <w:t>205</w:t>
            </w:r>
            <w:r w:rsidRPr="00E406BE">
              <w:rPr>
                <w:rFonts w:ascii="Arial" w:hAnsi="Arial" w:cs="Arial"/>
                <w:noProof/>
                <w:webHidden/>
                <w:sz w:val="28"/>
                <w:szCs w:val="28"/>
              </w:rPr>
              <w:fldChar w:fldCharType="end"/>
            </w:r>
          </w:hyperlink>
        </w:p>
        <w:p w14:paraId="091D133C" w14:textId="15BBC1EB" w:rsidR="00E406BE" w:rsidRPr="00E406BE" w:rsidRDefault="00E406BE">
          <w:pPr>
            <w:pStyle w:val="TOC3"/>
            <w:tabs>
              <w:tab w:val="right" w:leader="dot" w:pos="9350"/>
            </w:tabs>
            <w:rPr>
              <w:rFonts w:ascii="Arial" w:eastAsiaTheme="minorEastAsia" w:hAnsi="Arial" w:cs="Arial"/>
              <w:noProof/>
              <w:kern w:val="2"/>
              <w:sz w:val="28"/>
              <w:szCs w:val="28"/>
              <w14:ligatures w14:val="standardContextual"/>
            </w:rPr>
          </w:pPr>
          <w:hyperlink w:anchor="_Toc243923467" w:history="1">
            <w:r w:rsidRPr="00E406BE">
              <w:rPr>
                <w:rStyle w:val="Hyperlink"/>
                <w:rFonts w:ascii="Arial" w:eastAsia="Calibri" w:hAnsi="Arial" w:cs="Arial"/>
                <w:noProof/>
                <w:sz w:val="28"/>
                <w:szCs w:val="28"/>
              </w:rPr>
              <w:t>Accessibility and inclusion as everyday leadership</w:t>
            </w:r>
            <w:r w:rsidRPr="00E406BE">
              <w:rPr>
                <w:rFonts w:ascii="Arial" w:hAnsi="Arial" w:cs="Arial"/>
                <w:noProof/>
                <w:webHidden/>
                <w:sz w:val="28"/>
                <w:szCs w:val="28"/>
              </w:rPr>
              <w:tab/>
            </w:r>
            <w:r w:rsidRPr="00E406BE">
              <w:rPr>
                <w:rFonts w:ascii="Arial" w:hAnsi="Arial" w:cs="Arial"/>
                <w:noProof/>
                <w:webHidden/>
                <w:sz w:val="28"/>
                <w:szCs w:val="28"/>
              </w:rPr>
              <w:fldChar w:fldCharType="begin"/>
            </w:r>
            <w:r w:rsidRPr="00E406BE">
              <w:rPr>
                <w:rFonts w:ascii="Arial" w:hAnsi="Arial" w:cs="Arial"/>
                <w:noProof/>
                <w:webHidden/>
                <w:sz w:val="28"/>
                <w:szCs w:val="28"/>
              </w:rPr>
              <w:instrText xml:space="preserve"> PAGEREF _Toc243923467 \h </w:instrText>
            </w:r>
            <w:r w:rsidRPr="00E406BE">
              <w:rPr>
                <w:rFonts w:ascii="Arial" w:hAnsi="Arial" w:cs="Arial"/>
                <w:noProof/>
                <w:webHidden/>
                <w:sz w:val="28"/>
                <w:szCs w:val="28"/>
              </w:rPr>
            </w:r>
            <w:r w:rsidRPr="00E406BE">
              <w:rPr>
                <w:rFonts w:ascii="Arial" w:hAnsi="Arial" w:cs="Arial"/>
                <w:noProof/>
                <w:webHidden/>
                <w:sz w:val="28"/>
                <w:szCs w:val="28"/>
              </w:rPr>
              <w:fldChar w:fldCharType="separate"/>
            </w:r>
            <w:r w:rsidRPr="00E406BE">
              <w:rPr>
                <w:rFonts w:ascii="Arial" w:hAnsi="Arial" w:cs="Arial"/>
                <w:noProof/>
                <w:webHidden/>
                <w:sz w:val="28"/>
                <w:szCs w:val="28"/>
              </w:rPr>
              <w:t>206</w:t>
            </w:r>
            <w:r w:rsidRPr="00E406BE">
              <w:rPr>
                <w:rFonts w:ascii="Arial" w:hAnsi="Arial" w:cs="Arial"/>
                <w:noProof/>
                <w:webHidden/>
                <w:sz w:val="28"/>
                <w:szCs w:val="28"/>
              </w:rPr>
              <w:fldChar w:fldCharType="end"/>
            </w:r>
          </w:hyperlink>
        </w:p>
        <w:p w14:paraId="3B779128" w14:textId="490A3588" w:rsidR="00E406BE" w:rsidRPr="00E406BE" w:rsidRDefault="00E406BE">
          <w:pPr>
            <w:pStyle w:val="TOC3"/>
            <w:tabs>
              <w:tab w:val="right" w:leader="dot" w:pos="9350"/>
            </w:tabs>
            <w:rPr>
              <w:rFonts w:ascii="Arial" w:eastAsiaTheme="minorEastAsia" w:hAnsi="Arial" w:cs="Arial"/>
              <w:noProof/>
              <w:kern w:val="2"/>
              <w:sz w:val="28"/>
              <w:szCs w:val="28"/>
              <w14:ligatures w14:val="standardContextual"/>
            </w:rPr>
          </w:pPr>
          <w:hyperlink w:anchor="_Toc243923468" w:history="1">
            <w:r w:rsidRPr="00E406BE">
              <w:rPr>
                <w:rStyle w:val="Hyperlink"/>
                <w:rFonts w:ascii="Arial" w:eastAsia="Calibri" w:hAnsi="Arial" w:cs="Arial"/>
                <w:noProof/>
                <w:sz w:val="28"/>
                <w:szCs w:val="28"/>
              </w:rPr>
              <w:t>Framework at a glance</w:t>
            </w:r>
            <w:r w:rsidRPr="00E406BE">
              <w:rPr>
                <w:rFonts w:ascii="Arial" w:hAnsi="Arial" w:cs="Arial"/>
                <w:noProof/>
                <w:webHidden/>
                <w:sz w:val="28"/>
                <w:szCs w:val="28"/>
              </w:rPr>
              <w:tab/>
            </w:r>
            <w:r w:rsidRPr="00E406BE">
              <w:rPr>
                <w:rFonts w:ascii="Arial" w:hAnsi="Arial" w:cs="Arial"/>
                <w:noProof/>
                <w:webHidden/>
                <w:sz w:val="28"/>
                <w:szCs w:val="28"/>
              </w:rPr>
              <w:fldChar w:fldCharType="begin"/>
            </w:r>
            <w:r w:rsidRPr="00E406BE">
              <w:rPr>
                <w:rFonts w:ascii="Arial" w:hAnsi="Arial" w:cs="Arial"/>
                <w:noProof/>
                <w:webHidden/>
                <w:sz w:val="28"/>
                <w:szCs w:val="28"/>
              </w:rPr>
              <w:instrText xml:space="preserve"> PAGEREF _Toc243923468 \h </w:instrText>
            </w:r>
            <w:r w:rsidRPr="00E406BE">
              <w:rPr>
                <w:rFonts w:ascii="Arial" w:hAnsi="Arial" w:cs="Arial"/>
                <w:noProof/>
                <w:webHidden/>
                <w:sz w:val="28"/>
                <w:szCs w:val="28"/>
              </w:rPr>
            </w:r>
            <w:r w:rsidRPr="00E406BE">
              <w:rPr>
                <w:rFonts w:ascii="Arial" w:hAnsi="Arial" w:cs="Arial"/>
                <w:noProof/>
                <w:webHidden/>
                <w:sz w:val="28"/>
                <w:szCs w:val="28"/>
              </w:rPr>
              <w:fldChar w:fldCharType="separate"/>
            </w:r>
            <w:r w:rsidRPr="00E406BE">
              <w:rPr>
                <w:rFonts w:ascii="Arial" w:hAnsi="Arial" w:cs="Arial"/>
                <w:noProof/>
                <w:webHidden/>
                <w:sz w:val="28"/>
                <w:szCs w:val="28"/>
              </w:rPr>
              <w:t>207</w:t>
            </w:r>
            <w:r w:rsidRPr="00E406BE">
              <w:rPr>
                <w:rFonts w:ascii="Arial" w:hAnsi="Arial" w:cs="Arial"/>
                <w:noProof/>
                <w:webHidden/>
                <w:sz w:val="28"/>
                <w:szCs w:val="28"/>
              </w:rPr>
              <w:fldChar w:fldCharType="end"/>
            </w:r>
          </w:hyperlink>
        </w:p>
        <w:p w14:paraId="75087362" w14:textId="54BB6FC7" w:rsidR="00E406BE" w:rsidRPr="00E406BE" w:rsidRDefault="00E406BE">
          <w:pPr>
            <w:pStyle w:val="TOC3"/>
            <w:tabs>
              <w:tab w:val="right" w:leader="dot" w:pos="9350"/>
            </w:tabs>
            <w:rPr>
              <w:rFonts w:ascii="Arial" w:eastAsiaTheme="minorEastAsia" w:hAnsi="Arial" w:cs="Arial"/>
              <w:noProof/>
              <w:kern w:val="2"/>
              <w:sz w:val="28"/>
              <w:szCs w:val="28"/>
              <w14:ligatures w14:val="standardContextual"/>
            </w:rPr>
          </w:pPr>
          <w:hyperlink w:anchor="_Toc243923469" w:history="1">
            <w:r w:rsidRPr="00E406BE">
              <w:rPr>
                <w:rStyle w:val="Hyperlink"/>
                <w:rFonts w:ascii="Arial" w:eastAsia="Calibri" w:hAnsi="Arial" w:cs="Arial"/>
                <w:noProof/>
                <w:sz w:val="28"/>
                <w:szCs w:val="28"/>
              </w:rPr>
              <w:t>How leaders can implement the framework</w:t>
            </w:r>
            <w:r w:rsidRPr="00E406BE">
              <w:rPr>
                <w:rFonts w:ascii="Arial" w:hAnsi="Arial" w:cs="Arial"/>
                <w:noProof/>
                <w:webHidden/>
                <w:sz w:val="28"/>
                <w:szCs w:val="28"/>
              </w:rPr>
              <w:tab/>
            </w:r>
            <w:r w:rsidRPr="00E406BE">
              <w:rPr>
                <w:rFonts w:ascii="Arial" w:hAnsi="Arial" w:cs="Arial"/>
                <w:noProof/>
                <w:webHidden/>
                <w:sz w:val="28"/>
                <w:szCs w:val="28"/>
              </w:rPr>
              <w:fldChar w:fldCharType="begin"/>
            </w:r>
            <w:r w:rsidRPr="00E406BE">
              <w:rPr>
                <w:rFonts w:ascii="Arial" w:hAnsi="Arial" w:cs="Arial"/>
                <w:noProof/>
                <w:webHidden/>
                <w:sz w:val="28"/>
                <w:szCs w:val="28"/>
              </w:rPr>
              <w:instrText xml:space="preserve"> PAGEREF _Toc243923469 \h </w:instrText>
            </w:r>
            <w:r w:rsidRPr="00E406BE">
              <w:rPr>
                <w:rFonts w:ascii="Arial" w:hAnsi="Arial" w:cs="Arial"/>
                <w:noProof/>
                <w:webHidden/>
                <w:sz w:val="28"/>
                <w:szCs w:val="28"/>
              </w:rPr>
            </w:r>
            <w:r w:rsidRPr="00E406BE">
              <w:rPr>
                <w:rFonts w:ascii="Arial" w:hAnsi="Arial" w:cs="Arial"/>
                <w:noProof/>
                <w:webHidden/>
                <w:sz w:val="28"/>
                <w:szCs w:val="28"/>
              </w:rPr>
              <w:fldChar w:fldCharType="separate"/>
            </w:r>
            <w:r w:rsidRPr="00E406BE">
              <w:rPr>
                <w:rFonts w:ascii="Arial" w:hAnsi="Arial" w:cs="Arial"/>
                <w:noProof/>
                <w:webHidden/>
                <w:sz w:val="28"/>
                <w:szCs w:val="28"/>
              </w:rPr>
              <w:t>211</w:t>
            </w:r>
            <w:r w:rsidRPr="00E406BE">
              <w:rPr>
                <w:rFonts w:ascii="Arial" w:hAnsi="Arial" w:cs="Arial"/>
                <w:noProof/>
                <w:webHidden/>
                <w:sz w:val="28"/>
                <w:szCs w:val="28"/>
              </w:rPr>
              <w:fldChar w:fldCharType="end"/>
            </w:r>
          </w:hyperlink>
        </w:p>
        <w:p w14:paraId="603F7E38" w14:textId="0AA47118" w:rsidR="00E406BE" w:rsidRPr="00E406BE" w:rsidRDefault="00E406BE">
          <w:pPr>
            <w:pStyle w:val="TOC3"/>
            <w:tabs>
              <w:tab w:val="right" w:leader="dot" w:pos="9350"/>
            </w:tabs>
            <w:rPr>
              <w:rFonts w:ascii="Arial" w:eastAsiaTheme="minorEastAsia" w:hAnsi="Arial" w:cs="Arial"/>
              <w:noProof/>
              <w:kern w:val="2"/>
              <w:sz w:val="28"/>
              <w:szCs w:val="28"/>
              <w14:ligatures w14:val="standardContextual"/>
            </w:rPr>
          </w:pPr>
          <w:hyperlink w:anchor="_Toc243923470" w:history="1">
            <w:r w:rsidRPr="00E406BE">
              <w:rPr>
                <w:rStyle w:val="Hyperlink"/>
                <w:rFonts w:ascii="Arial" w:eastAsia="Calibri" w:hAnsi="Arial" w:cs="Arial"/>
                <w:noProof/>
                <w:sz w:val="28"/>
                <w:szCs w:val="28"/>
              </w:rPr>
              <w:t>Appendix B and C - References</w:t>
            </w:r>
            <w:r w:rsidRPr="00E406BE">
              <w:rPr>
                <w:rFonts w:ascii="Arial" w:hAnsi="Arial" w:cs="Arial"/>
                <w:noProof/>
                <w:webHidden/>
                <w:sz w:val="28"/>
                <w:szCs w:val="28"/>
              </w:rPr>
              <w:tab/>
            </w:r>
            <w:r w:rsidRPr="00E406BE">
              <w:rPr>
                <w:rFonts w:ascii="Arial" w:hAnsi="Arial" w:cs="Arial"/>
                <w:noProof/>
                <w:webHidden/>
                <w:sz w:val="28"/>
                <w:szCs w:val="28"/>
              </w:rPr>
              <w:fldChar w:fldCharType="begin"/>
            </w:r>
            <w:r w:rsidRPr="00E406BE">
              <w:rPr>
                <w:rFonts w:ascii="Arial" w:hAnsi="Arial" w:cs="Arial"/>
                <w:noProof/>
                <w:webHidden/>
                <w:sz w:val="28"/>
                <w:szCs w:val="28"/>
              </w:rPr>
              <w:instrText xml:space="preserve"> PAGEREF _Toc243923470 \h </w:instrText>
            </w:r>
            <w:r w:rsidRPr="00E406BE">
              <w:rPr>
                <w:rFonts w:ascii="Arial" w:hAnsi="Arial" w:cs="Arial"/>
                <w:noProof/>
                <w:webHidden/>
                <w:sz w:val="28"/>
                <w:szCs w:val="28"/>
              </w:rPr>
            </w:r>
            <w:r w:rsidRPr="00E406BE">
              <w:rPr>
                <w:rFonts w:ascii="Arial" w:hAnsi="Arial" w:cs="Arial"/>
                <w:noProof/>
                <w:webHidden/>
                <w:sz w:val="28"/>
                <w:szCs w:val="28"/>
              </w:rPr>
              <w:fldChar w:fldCharType="separate"/>
            </w:r>
            <w:r w:rsidRPr="00E406BE">
              <w:rPr>
                <w:rFonts w:ascii="Arial" w:hAnsi="Arial" w:cs="Arial"/>
                <w:noProof/>
                <w:webHidden/>
                <w:sz w:val="28"/>
                <w:szCs w:val="28"/>
              </w:rPr>
              <w:t>212</w:t>
            </w:r>
            <w:r w:rsidRPr="00E406BE">
              <w:rPr>
                <w:rFonts w:ascii="Arial" w:hAnsi="Arial" w:cs="Arial"/>
                <w:noProof/>
                <w:webHidden/>
                <w:sz w:val="28"/>
                <w:szCs w:val="28"/>
              </w:rPr>
              <w:fldChar w:fldCharType="end"/>
            </w:r>
          </w:hyperlink>
        </w:p>
        <w:p w14:paraId="225BD787" w14:textId="7EDA21DA" w:rsidR="0063418B" w:rsidRPr="00FA192F" w:rsidRDefault="0063418B">
          <w:pPr>
            <w:rPr>
              <w:rFonts w:ascii="Arial" w:hAnsi="Arial" w:cs="Arial"/>
              <w:sz w:val="28"/>
              <w:szCs w:val="28"/>
            </w:rPr>
          </w:pPr>
          <w:r w:rsidRPr="00E406BE">
            <w:rPr>
              <w:rFonts w:ascii="Arial" w:hAnsi="Arial" w:cs="Arial"/>
              <w:b/>
              <w:bCs/>
              <w:noProof/>
              <w:sz w:val="28"/>
              <w:szCs w:val="28"/>
            </w:rPr>
            <w:fldChar w:fldCharType="end"/>
          </w:r>
        </w:p>
      </w:sdtContent>
    </w:sdt>
    <w:p w14:paraId="3F988D26" w14:textId="204FB353" w:rsidR="00015B3B" w:rsidRPr="00015B3B" w:rsidRDefault="00015B3B" w:rsidP="00015B3B">
      <w:pPr>
        <w:sectPr w:rsidR="00015B3B" w:rsidRPr="00015B3B" w:rsidSect="009F7FEB">
          <w:pgSz w:w="12240" w:h="15840"/>
          <w:pgMar w:top="1728" w:right="1440" w:bottom="1080" w:left="1440" w:header="709" w:footer="317" w:gutter="0"/>
          <w:cols w:space="708"/>
          <w:docGrid w:linePitch="360"/>
        </w:sectPr>
      </w:pPr>
    </w:p>
    <w:p w14:paraId="3A571283" w14:textId="0C639C4A" w:rsidR="00C250F7" w:rsidRDefault="00CB0157" w:rsidP="00BB05DC">
      <w:pPr>
        <w:pStyle w:val="Heading2"/>
      </w:pPr>
      <w:bookmarkStart w:id="8" w:name="_Toc243923393"/>
      <w:r>
        <w:lastRenderedPageBreak/>
        <w:t>Acknowledgements</w:t>
      </w:r>
      <w:bookmarkEnd w:id="8"/>
    </w:p>
    <w:p w14:paraId="6FE58D0F" w14:textId="77777777" w:rsidR="00E67825" w:rsidRPr="00E67825" w:rsidRDefault="00E67825" w:rsidP="00E67825">
      <w:pPr>
        <w:pStyle w:val="BodyCopy"/>
      </w:pPr>
      <w:r w:rsidRPr="00E67825">
        <w:t xml:space="preserve">This project, </w:t>
      </w:r>
      <w:r w:rsidRPr="00E67825">
        <w:rPr>
          <w:b/>
          <w:bCs/>
        </w:rPr>
        <w:t>Accessibility and Inclusion Competencies: A Culture Building Framework for Inclusive Workplaces</w:t>
      </w:r>
      <w:r w:rsidRPr="00E67825">
        <w:t>, was led by CNIB and made possible through support from Accessibility Standards Canada and the Government of Canada.</w:t>
      </w:r>
    </w:p>
    <w:p w14:paraId="546171C2" w14:textId="77777777" w:rsidR="00E67825" w:rsidRPr="00E67825" w:rsidRDefault="00E67825" w:rsidP="00E67825">
      <w:pPr>
        <w:pStyle w:val="BodyCopy"/>
      </w:pPr>
      <w:r w:rsidRPr="00E67825">
        <w:t xml:space="preserve">First and foremost, I want to acknowledge Michaela Knot, Lead, Research Operations at CNIB. Michaela has been </w:t>
      </w:r>
      <w:proofErr w:type="gramStart"/>
      <w:r w:rsidRPr="00E67825">
        <w:t>the research</w:t>
      </w:r>
      <w:proofErr w:type="gramEnd"/>
      <w:r w:rsidRPr="00E67825">
        <w:t xml:space="preserve"> lead and steady operational force behind this work. Over the past two years, she held the </w:t>
      </w:r>
      <w:proofErr w:type="spellStart"/>
      <w:r w:rsidRPr="00E67825">
        <w:t>centre</w:t>
      </w:r>
      <w:proofErr w:type="spellEnd"/>
      <w:r w:rsidRPr="00E67825">
        <w:t xml:space="preserve"> across multiple interconnected research streams, coordinated partners and timelines, and ensured the work remained rigorous, cohesive, and accountable. I am deeply grateful for her leadership, consistency, and care, and most importantly, her friendship, throughout the life of this project.</w:t>
      </w:r>
    </w:p>
    <w:p w14:paraId="3955FC50" w14:textId="382581DC" w:rsidR="00E67825" w:rsidRPr="00E67825" w:rsidRDefault="00E67825" w:rsidP="00E67825">
      <w:pPr>
        <w:pStyle w:val="BodyCopy"/>
      </w:pPr>
      <w:r w:rsidRPr="00E67825">
        <w:t>Right after Michaela, I want to offer a deeply heartfelt thank you to Steven Woo, my colleague, friend, former coworker, and co</w:t>
      </w:r>
      <w:r w:rsidRPr="00E67825">
        <w:noBreakHyphen/>
        <w:t xml:space="preserve">designer in the truest sense. Steven has been my right hand throughout the development of this work for the past three years. He sat with me through thinking, unpacking, brainstorming, and </w:t>
      </w:r>
      <w:r w:rsidR="00F30AAB" w:rsidRPr="00E67825">
        <w:t>rethinking</w:t>
      </w:r>
      <w:r w:rsidRPr="00E67825">
        <w:t xml:space="preserve"> what meaningful co</w:t>
      </w:r>
      <w:r w:rsidRPr="00E67825">
        <w:noBreakHyphen/>
        <w:t>creation requires. His partnership shaped how the work</w:t>
      </w:r>
      <w:r w:rsidR="00D93F46">
        <w:t xml:space="preserve"> was approached</w:t>
      </w:r>
      <w:r w:rsidRPr="00E67825">
        <w:t>, how I stayed honest in moments of complexity, and how I continued to push for clarity, usefulness, and integrity rather than settling for what was easiest.</w:t>
      </w:r>
    </w:p>
    <w:p w14:paraId="32BD64ED" w14:textId="77777777" w:rsidR="00E67825" w:rsidRPr="00E67825" w:rsidRDefault="00E67825" w:rsidP="00E67825">
      <w:pPr>
        <w:pStyle w:val="BodyCopy"/>
      </w:pPr>
      <w:r w:rsidRPr="00E67825">
        <w:t xml:space="preserve">I also want to give a very big thank you to Bob Dodd from Access Labs. Over the past year, Bob spent significant time sitting with me and helping me strengthen the conceptual backbone of this work. He taught me the importance of born accessible design and, critically, helped me see how born accessible thinking extends far beyond digital accessibility. Bob helped me understand how born accessible design can apply to </w:t>
      </w:r>
      <w:r w:rsidRPr="00E67825">
        <w:lastRenderedPageBreak/>
        <w:t>organizational systems, workflows, decision making, and culture, and that learning fundamentally shaped how this framework evolved.</w:t>
      </w:r>
    </w:p>
    <w:p w14:paraId="26D5A61A" w14:textId="77777777" w:rsidR="00E67825" w:rsidRPr="00E67825" w:rsidRDefault="00E67825" w:rsidP="00E67825">
      <w:pPr>
        <w:pStyle w:val="BodyCopy"/>
      </w:pPr>
      <w:r w:rsidRPr="00E67825">
        <w:t>I am also grateful to Ali Khalil for his leadership and contributions through the Accessibility Taskforce work connected to this project. His practical insight, grounded perspective, and commitment to moving accessibility forward in operational contexts strengthened the relevance of this work.</w:t>
      </w:r>
    </w:p>
    <w:p w14:paraId="6D51EA4A" w14:textId="77777777" w:rsidR="00E67825" w:rsidRPr="00E67825" w:rsidRDefault="00E67825" w:rsidP="00E67825">
      <w:pPr>
        <w:pStyle w:val="BodyCopy"/>
      </w:pPr>
      <w:r w:rsidRPr="00E67825">
        <w:t xml:space="preserve">A major </w:t>
      </w:r>
      <w:proofErr w:type="gramStart"/>
      <w:r w:rsidRPr="00E67825">
        <w:t>thank</w:t>
      </w:r>
      <w:proofErr w:type="gramEnd"/>
      <w:r w:rsidRPr="00E67825">
        <w:t xml:space="preserve"> you goes to Kathy Beitz. Kathy’s contributions helped ground this work in real implementation realities. Her perspective and involvement across co</w:t>
      </w:r>
      <w:r w:rsidRPr="00E67825">
        <w:noBreakHyphen/>
        <w:t>design activities and task force related work ensured the framework stayed connected to practice and not just theory.</w:t>
      </w:r>
    </w:p>
    <w:p w14:paraId="7A961795" w14:textId="61E73B0F" w:rsidR="00E67825" w:rsidRPr="00E67825" w:rsidRDefault="00E67825" w:rsidP="00E67825">
      <w:pPr>
        <w:pStyle w:val="BodyCopy"/>
      </w:pPr>
      <w:r w:rsidRPr="00E67825">
        <w:t>I want to offer a very personal thank you to Meghan Mahon, Manager of Reconciliation and Community Inclusion. Over the past year, Meghan helped me stay grounded. Our conversations helped me remain true to reciprocity and to the importance of co</w:t>
      </w:r>
      <w:r w:rsidRPr="00E67825">
        <w:noBreakHyphen/>
        <w:t xml:space="preserve">creation as part of reconciliation at work. Her support helped me hold firmly to values of </w:t>
      </w:r>
      <w:r w:rsidR="00F30AAB" w:rsidRPr="00E67825">
        <w:t>relationships</w:t>
      </w:r>
      <w:r w:rsidRPr="00E67825">
        <w:t>, accountability, and community informed practice, especially during moments when pressure or complexity could have pulled the work away from those commitments.</w:t>
      </w:r>
    </w:p>
    <w:p w14:paraId="6B13B553" w14:textId="77777777" w:rsidR="00E67825" w:rsidRPr="00E67825" w:rsidRDefault="00E67825" w:rsidP="00E67825">
      <w:pPr>
        <w:pStyle w:val="BodyCopy"/>
      </w:pPr>
      <w:r w:rsidRPr="00E67825">
        <w:t>I also want to thank Christall Beaudry and Jaclyn Lavigne for their strategic leadership and for stepping into this work as genuine research supporters as it evolved. During challenging moments, they helped move things forward, unpack complexity, and support the development of this work with steadiness and care. Their leadership created important enabling conditions that allowed this project to progress without losing its integrity.</w:t>
      </w:r>
    </w:p>
    <w:p w14:paraId="6E201747" w14:textId="77777777" w:rsidR="00E67825" w:rsidRPr="00E67825" w:rsidRDefault="00E67825" w:rsidP="00E67825">
      <w:pPr>
        <w:pStyle w:val="BodyCopy"/>
      </w:pPr>
      <w:r w:rsidRPr="00E67825">
        <w:t xml:space="preserve">I want to thank the members of the Stronger Together </w:t>
      </w:r>
      <w:proofErr w:type="gramStart"/>
      <w:r w:rsidRPr="00E67825">
        <w:t>Accessibility Task</w:t>
      </w:r>
      <w:proofErr w:type="gramEnd"/>
      <w:r w:rsidRPr="00E67825">
        <w:t xml:space="preserve"> Force who contributed their time, insight, and experience. Your participation helped ensure this work stayed connected to </w:t>
      </w:r>
      <w:proofErr w:type="gramStart"/>
      <w:r w:rsidRPr="00E67825">
        <w:t>day to day</w:t>
      </w:r>
      <w:proofErr w:type="gramEnd"/>
      <w:r w:rsidRPr="00E67825">
        <w:t xml:space="preserve"> realities and helped bridge strategy to action in meaningful ways.</w:t>
      </w:r>
    </w:p>
    <w:p w14:paraId="6029EECF" w14:textId="75E9A06F" w:rsidR="00E67825" w:rsidRPr="00E67825" w:rsidRDefault="00E67825" w:rsidP="00E67825">
      <w:pPr>
        <w:pStyle w:val="BodyCopy"/>
      </w:pPr>
      <w:r w:rsidRPr="00E67825">
        <w:lastRenderedPageBreak/>
        <w:t>I am also grateful for conversations with Shoko Kitano</w:t>
      </w:r>
      <w:r w:rsidR="00FF0490">
        <w:t xml:space="preserve"> and </w:t>
      </w:r>
      <w:r w:rsidR="00FF0490" w:rsidRPr="00E67825">
        <w:t>David Demers</w:t>
      </w:r>
      <w:r w:rsidRPr="00E67825">
        <w:t>, which helped me think more deeply about how born accessible design can truly extend into business development, business design, organizational transformation, and everyday strategy. These discussions supported a shift in my thinking toward accessibility as a core organizational practice rather than an add on.</w:t>
      </w:r>
    </w:p>
    <w:p w14:paraId="43BB6A51" w14:textId="3FD48671" w:rsidR="00E67825" w:rsidRPr="00E67825" w:rsidRDefault="00E67825" w:rsidP="00E67825">
      <w:pPr>
        <w:pStyle w:val="BodyCopy"/>
      </w:pPr>
      <w:r w:rsidRPr="00E67825">
        <w:t>I want to acknowledge the Ipsos research partnership connected to this project. I am especially grateful to Dr</w:t>
      </w:r>
      <w:r w:rsidR="0080590E">
        <w:t>.</w:t>
      </w:r>
      <w:r w:rsidRPr="00E67825">
        <w:t xml:space="preserve"> Christine Hochbaum, who originated and led the public attitudes study that examined social norms, perceptions, and attitudes related to disability and accessibility. Her leadership added an essential societal lens to this work and helped situate organizational accessibility within broader cultural and attitudinal contexts.</w:t>
      </w:r>
    </w:p>
    <w:p w14:paraId="07EA8D94" w14:textId="77777777" w:rsidR="00E67825" w:rsidRPr="00E67825" w:rsidRDefault="00E67825" w:rsidP="00E67825">
      <w:pPr>
        <w:pStyle w:val="BodyCopy"/>
      </w:pPr>
      <w:r w:rsidRPr="00E67825">
        <w:t>This work was strengthened through formal research partnerships, including early phase contributions from the Business and Higher Education Roundtable that informed the evidence base for this project.</w:t>
      </w:r>
    </w:p>
    <w:p w14:paraId="4C462CAC" w14:textId="3CFAB816" w:rsidR="00E67825" w:rsidRPr="0041013B" w:rsidRDefault="00E67825" w:rsidP="00E67825">
      <w:pPr>
        <w:pStyle w:val="BodyCopy"/>
        <w:rPr>
          <w:lang w:val="en-CA"/>
        </w:rPr>
      </w:pPr>
      <w:r w:rsidRPr="00E67825">
        <w:t>I want to bring together special recognition for two contributors whose work was critical to the integrity of the research. Lakshita Bhat played a significant role in cleaning, validating, quality checking, and analyzing the dataset collected through the Ontario Tech student audits. Her diligence and analytical care were essential to ensuring the audit findings could be confidently reported. I also acknowledge Katerina Koudinov for her important contributions to the literature review, thematic synthesis, and the inventory of accessibility training offerings in Canada that informed this work.</w:t>
      </w:r>
      <w:r w:rsidR="0041013B">
        <w:t xml:space="preserve"> </w:t>
      </w:r>
      <w:r w:rsidR="0041013B" w:rsidRPr="0041013B">
        <w:rPr>
          <w:lang w:val="en-CA"/>
        </w:rPr>
        <w:t xml:space="preserve">I also thank Julia </w:t>
      </w:r>
      <w:r w:rsidR="0041013B">
        <w:rPr>
          <w:lang w:val="en-CA"/>
        </w:rPr>
        <w:t>N</w:t>
      </w:r>
      <w:r w:rsidR="0041013B" w:rsidRPr="0041013B">
        <w:rPr>
          <w:lang w:val="en-CA"/>
        </w:rPr>
        <w:t>agle</w:t>
      </w:r>
      <w:r w:rsidR="0041013B">
        <w:rPr>
          <w:lang w:val="en-CA"/>
        </w:rPr>
        <w:t xml:space="preserve"> for her</w:t>
      </w:r>
      <w:r w:rsidR="0041013B" w:rsidRPr="0041013B">
        <w:rPr>
          <w:lang w:val="en-CA"/>
        </w:rPr>
        <w:t xml:space="preserve"> contributions to this work, particularly Julia’s thoughtful review and editing, which strengthened the clarity of this report.</w:t>
      </w:r>
    </w:p>
    <w:p w14:paraId="3B2CAE62" w14:textId="77777777" w:rsidR="00E67825" w:rsidRPr="00E67825" w:rsidRDefault="00E67825" w:rsidP="00E67825">
      <w:pPr>
        <w:pStyle w:val="BodyCopy"/>
      </w:pPr>
      <w:r w:rsidRPr="00E67825">
        <w:t xml:space="preserve">I gratefully acknowledge Ontario Tech University Capstone Team 10, Alex Atherley, Nikita Bennett, Hallie Budhoo, Mahin Khan, and Joseph Mandool, for conducting the website scans and initial data collection that supported </w:t>
      </w:r>
      <w:r w:rsidRPr="00E67825">
        <w:lastRenderedPageBreak/>
        <w:t>the organizational audit, along with their faculty supervisor Professor Amanda Gaudet and teaching assistant June Melnychuk.</w:t>
      </w:r>
    </w:p>
    <w:p w14:paraId="3C2AAEA8" w14:textId="57366BCD" w:rsidR="00E67825" w:rsidRPr="00E67825" w:rsidRDefault="00E67825" w:rsidP="00E67825">
      <w:pPr>
        <w:pStyle w:val="BodyCopy"/>
      </w:pPr>
      <w:r w:rsidRPr="00E67825">
        <w:t>The organizational signaling audit included in this project was conducted under the Inclusive Design for Employment Access Social Innovation Lab, supported by the Government of Canada’s New Frontiers in Research Fund. I acknowledge the leadership and methodological contributions of Dr</w:t>
      </w:r>
      <w:r w:rsidR="0080590E">
        <w:t>.</w:t>
      </w:r>
      <w:r w:rsidRPr="00E67825">
        <w:t xml:space="preserve"> Jimin Choi, Dr Jordana Maisel, Dr Emile Tompa, and Dr Mahadeo Sukhai, as well as the collaboration with the University at Buffalo Center for Inclusive Design and Environmental Access.</w:t>
      </w:r>
    </w:p>
    <w:p w14:paraId="4C7B40B1" w14:textId="49B25166" w:rsidR="00E67825" w:rsidRPr="00E67825" w:rsidRDefault="00E67825" w:rsidP="00E67825">
      <w:pPr>
        <w:pStyle w:val="BodyCopy"/>
      </w:pPr>
      <w:r w:rsidRPr="00E67825">
        <w:t>Finally, and most importantly, I want to thank the individuals with lived experience of disability, accessibility practitioners, staff, students, and community contributors who participated across the research and co</w:t>
      </w:r>
      <w:r w:rsidRPr="00E67825">
        <w:noBreakHyphen/>
        <w:t xml:space="preserve">design processes that informed this project. Your expertise, time, and trust grounded this work in the principle of </w:t>
      </w:r>
      <w:r w:rsidR="00B6120D">
        <w:t>“</w:t>
      </w:r>
      <w:r w:rsidRPr="00E67825">
        <w:t>Nothing About Us Without Us</w:t>
      </w:r>
      <w:r w:rsidR="00B6120D">
        <w:t>”</w:t>
      </w:r>
      <w:r w:rsidRPr="00E67825">
        <w:t xml:space="preserve"> and ensured the framework reflects real participation needs, real barriers, and real pathways forward.</w:t>
      </w:r>
    </w:p>
    <w:p w14:paraId="2F6DA217" w14:textId="77777777" w:rsidR="00E67825" w:rsidRPr="00E67825" w:rsidRDefault="00E67825" w:rsidP="00E67825">
      <w:pPr>
        <w:pStyle w:val="BodyCopy"/>
      </w:pPr>
      <w:r w:rsidRPr="00E67825">
        <w:t>I offer this work in the spirit of reciprocity, accountability, and ongoing learning, with the understanding that accessibility is not a finished state, but a shared and evolving practice.</w:t>
      </w:r>
    </w:p>
    <w:p w14:paraId="1BF01364" w14:textId="7425A074" w:rsidR="00E67825" w:rsidRPr="00E67825" w:rsidRDefault="00E67825" w:rsidP="00E67825">
      <w:pPr>
        <w:pStyle w:val="BodyCopy"/>
      </w:pPr>
      <w:r w:rsidRPr="00E67825">
        <w:t>Ana Sofia Barrows</w:t>
      </w:r>
      <w:r w:rsidR="003931C3">
        <w:t>, CPACC (she/her)</w:t>
      </w:r>
      <w:r w:rsidRPr="00E67825">
        <w:br/>
        <w:t>Director, Accessibility and Inclusion</w:t>
      </w:r>
    </w:p>
    <w:p w14:paraId="5A470D56" w14:textId="77777777" w:rsidR="00707FE4" w:rsidRDefault="00707FE4" w:rsidP="00CB0157">
      <w:pPr>
        <w:rPr>
          <w:rFonts w:ascii="Arial" w:hAnsi="Arial" w:cs="Arial"/>
        </w:rPr>
      </w:pPr>
    </w:p>
    <w:p w14:paraId="43FD497C" w14:textId="4B678865" w:rsidR="00707FE4" w:rsidRPr="00707FE4" w:rsidRDefault="00CC2E3A" w:rsidP="00CB0157">
      <w:pPr>
        <w:rPr>
          <w:rFonts w:ascii="Arial" w:hAnsi="Arial" w:cs="Arial"/>
          <w:sz w:val="12"/>
          <w:szCs w:val="12"/>
          <w:u w:val="double"/>
        </w:rPr>
        <w:sectPr w:rsidR="00707FE4" w:rsidRPr="00707FE4" w:rsidSect="009F7FEB">
          <w:pgSz w:w="12240" w:h="15840"/>
          <w:pgMar w:top="1728" w:right="1440" w:bottom="1080" w:left="1440" w:header="709" w:footer="317" w:gutter="0"/>
          <w:cols w:space="708"/>
          <w:docGrid w:linePitch="360"/>
        </w:sectPr>
      </w:pPr>
      <w:r>
        <w:rPr>
          <w:b/>
          <w:noProof/>
        </w:rPr>
        <w:drawing>
          <wp:inline distT="0" distB="0" distL="0" distR="0" wp14:anchorId="5DE86A60" wp14:editId="38D39D3A">
            <wp:extent cx="1219200" cy="639430"/>
            <wp:effectExtent l="0" t="0" r="0" b="8890"/>
            <wp:docPr id="1621766498" name="Picture 1621766498" descr="CNIB Found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1766498" name="Picture 1621766498" descr="CNIB Foundation logo"/>
                    <pic:cNvPicPr/>
                  </pic:nvPicPr>
                  <pic:blipFill>
                    <a:blip r:embed="rId19">
                      <a:extLst>
                        <a:ext uri="{28A0092B-C50C-407E-A947-70E740481C1C}">
                          <a14:useLocalDpi xmlns:a14="http://schemas.microsoft.com/office/drawing/2010/main" val="0"/>
                        </a:ext>
                      </a:extLst>
                    </a:blip>
                    <a:stretch>
                      <a:fillRect/>
                    </a:stretch>
                  </pic:blipFill>
                  <pic:spPr>
                    <a:xfrm>
                      <a:off x="0" y="0"/>
                      <a:ext cx="1272803" cy="667543"/>
                    </a:xfrm>
                    <a:prstGeom prst="rect">
                      <a:avLst/>
                    </a:prstGeom>
                  </pic:spPr>
                </pic:pic>
              </a:graphicData>
            </a:graphic>
          </wp:inline>
        </w:drawing>
      </w:r>
    </w:p>
    <w:p w14:paraId="10C4891E" w14:textId="37A20C6D" w:rsidR="002021AE" w:rsidRDefault="00301F15" w:rsidP="00BB05DC">
      <w:pPr>
        <w:pStyle w:val="Heading2"/>
      </w:pPr>
      <w:bookmarkStart w:id="9" w:name="_Toc243923394"/>
      <w:r>
        <w:lastRenderedPageBreak/>
        <w:t xml:space="preserve">List of </w:t>
      </w:r>
      <w:r w:rsidR="00BB05DC" w:rsidRPr="00BB05DC">
        <w:t>Abbreviations</w:t>
      </w:r>
      <w:bookmarkEnd w:id="9"/>
    </w:p>
    <w:p w14:paraId="77F5F2A6" w14:textId="77777777" w:rsidR="00053151" w:rsidRDefault="00053151" w:rsidP="00053151"/>
    <w:p w14:paraId="50AD89A3" w14:textId="77777777" w:rsidR="00053151" w:rsidRPr="00053151" w:rsidRDefault="00053151" w:rsidP="00053151">
      <w:pPr>
        <w:pStyle w:val="BodyCopy"/>
      </w:pPr>
      <w:r w:rsidRPr="00053151">
        <w:rPr>
          <w:b/>
          <w:bCs/>
        </w:rPr>
        <w:t>ACA</w:t>
      </w:r>
      <w:r w:rsidRPr="00053151">
        <w:t xml:space="preserve"> – Accessible Canada Act (Canada’s federal legislation aimed at identifying, removing, and preventing accessibility barriers)</w:t>
      </w:r>
    </w:p>
    <w:p w14:paraId="2C861D10" w14:textId="77777777" w:rsidR="00053151" w:rsidRPr="00053151" w:rsidRDefault="00053151" w:rsidP="00053151">
      <w:pPr>
        <w:pStyle w:val="BodyCopy"/>
      </w:pPr>
      <w:r w:rsidRPr="00053151">
        <w:rPr>
          <w:b/>
          <w:bCs/>
        </w:rPr>
        <w:t>ADA</w:t>
      </w:r>
      <w:r w:rsidRPr="00053151">
        <w:t xml:space="preserve"> – Americans with Disabilities Act (United States federal civil rights legislation prohibiting discrimination based on disability)</w:t>
      </w:r>
    </w:p>
    <w:p w14:paraId="3015C967" w14:textId="77777777" w:rsidR="00053151" w:rsidRPr="00053151" w:rsidRDefault="00053151" w:rsidP="00053151">
      <w:pPr>
        <w:pStyle w:val="BodyCopy"/>
      </w:pPr>
      <w:r w:rsidRPr="00053151">
        <w:rPr>
          <w:b/>
          <w:bCs/>
        </w:rPr>
        <w:t>AI</w:t>
      </w:r>
      <w:r w:rsidRPr="00053151">
        <w:t xml:space="preserve"> – Artificial Intelligence</w:t>
      </w:r>
    </w:p>
    <w:p w14:paraId="4EDC3F0C" w14:textId="77777777" w:rsidR="00053151" w:rsidRPr="00053151" w:rsidRDefault="00053151" w:rsidP="00053151">
      <w:pPr>
        <w:pStyle w:val="BodyCopy"/>
      </w:pPr>
      <w:r w:rsidRPr="00053151">
        <w:rPr>
          <w:b/>
          <w:bCs/>
        </w:rPr>
        <w:t>AODA</w:t>
      </w:r>
      <w:r w:rsidRPr="00053151">
        <w:t xml:space="preserve"> – Accessibility for Ontarians with Disabilities Act (Ontario provincial accessibility legislation)</w:t>
      </w:r>
    </w:p>
    <w:p w14:paraId="726B85E6" w14:textId="77777777" w:rsidR="00053151" w:rsidRPr="00053151" w:rsidRDefault="00053151" w:rsidP="00053151">
      <w:pPr>
        <w:pStyle w:val="BodyCopy"/>
      </w:pPr>
      <w:r w:rsidRPr="00053151">
        <w:rPr>
          <w:b/>
          <w:bCs/>
        </w:rPr>
        <w:t>ASC</w:t>
      </w:r>
      <w:r w:rsidRPr="00053151">
        <w:t xml:space="preserve"> – Accessibility Standards Canada</w:t>
      </w:r>
    </w:p>
    <w:p w14:paraId="21FCC0E4" w14:textId="77777777" w:rsidR="00053151" w:rsidRPr="00053151" w:rsidRDefault="00053151" w:rsidP="00053151">
      <w:pPr>
        <w:pStyle w:val="BodyCopy"/>
      </w:pPr>
      <w:r w:rsidRPr="00053151">
        <w:rPr>
          <w:b/>
          <w:bCs/>
        </w:rPr>
        <w:t>ASL</w:t>
      </w:r>
      <w:r w:rsidRPr="00053151">
        <w:t xml:space="preserve"> – American Sign Language</w:t>
      </w:r>
    </w:p>
    <w:p w14:paraId="7880B9E0" w14:textId="77777777" w:rsidR="00053151" w:rsidRPr="00053151" w:rsidRDefault="00053151" w:rsidP="00053151">
      <w:pPr>
        <w:pStyle w:val="BodyCopy"/>
      </w:pPr>
      <w:r w:rsidRPr="00053151">
        <w:rPr>
          <w:b/>
          <w:bCs/>
        </w:rPr>
        <w:t>BHER</w:t>
      </w:r>
      <w:r w:rsidRPr="00053151">
        <w:t xml:space="preserve"> – Business + Higher Education Roundtable</w:t>
      </w:r>
    </w:p>
    <w:p w14:paraId="7D67B86A" w14:textId="77777777" w:rsidR="00053151" w:rsidRPr="00053151" w:rsidRDefault="00053151" w:rsidP="00053151">
      <w:pPr>
        <w:pStyle w:val="BodyCopy"/>
      </w:pPr>
      <w:r w:rsidRPr="00053151">
        <w:rPr>
          <w:b/>
          <w:bCs/>
        </w:rPr>
        <w:t>CBPR</w:t>
      </w:r>
      <w:r w:rsidRPr="00053151">
        <w:t xml:space="preserve"> – Community-Based Participatory Research</w:t>
      </w:r>
    </w:p>
    <w:p w14:paraId="0F1AA609" w14:textId="77777777" w:rsidR="00053151" w:rsidRPr="00053151" w:rsidRDefault="00053151" w:rsidP="00053151">
      <w:pPr>
        <w:pStyle w:val="BodyCopy"/>
      </w:pPr>
      <w:r w:rsidRPr="00053151">
        <w:rPr>
          <w:b/>
          <w:bCs/>
        </w:rPr>
        <w:t>CART</w:t>
      </w:r>
      <w:r w:rsidRPr="00053151">
        <w:t xml:space="preserve"> – Communication Access Realtime Translation</w:t>
      </w:r>
    </w:p>
    <w:p w14:paraId="0C604D90" w14:textId="77777777" w:rsidR="00053151" w:rsidRPr="00053151" w:rsidRDefault="00053151" w:rsidP="00053151">
      <w:pPr>
        <w:pStyle w:val="BodyCopy"/>
      </w:pPr>
      <w:r w:rsidRPr="00053151">
        <w:rPr>
          <w:b/>
          <w:bCs/>
        </w:rPr>
        <w:t>CNIB</w:t>
      </w:r>
      <w:r w:rsidRPr="00053151">
        <w:t xml:space="preserve"> – Canadian National Institute for the Blind</w:t>
      </w:r>
    </w:p>
    <w:p w14:paraId="658C39D1" w14:textId="77777777" w:rsidR="00053151" w:rsidRPr="00053151" w:rsidRDefault="00053151" w:rsidP="00053151">
      <w:pPr>
        <w:pStyle w:val="BodyCopy"/>
      </w:pPr>
      <w:r w:rsidRPr="00053151">
        <w:rPr>
          <w:b/>
          <w:bCs/>
        </w:rPr>
        <w:t>CPACC</w:t>
      </w:r>
      <w:r w:rsidRPr="00053151">
        <w:t xml:space="preserve"> – Certified Professional in Accessibility Core Competencies (credential offered by the International Association of Accessibility Professionals)</w:t>
      </w:r>
    </w:p>
    <w:p w14:paraId="4F930315" w14:textId="77777777" w:rsidR="00053151" w:rsidRPr="00053151" w:rsidRDefault="00053151" w:rsidP="00053151">
      <w:pPr>
        <w:pStyle w:val="BodyCopy"/>
      </w:pPr>
      <w:r w:rsidRPr="00053151">
        <w:rPr>
          <w:b/>
          <w:bCs/>
        </w:rPr>
        <w:t>CRPD</w:t>
      </w:r>
      <w:r w:rsidRPr="00053151">
        <w:t xml:space="preserve"> – United Nations Convention on the Rights of Persons with Disabilities</w:t>
      </w:r>
    </w:p>
    <w:p w14:paraId="55EA15A5" w14:textId="77777777" w:rsidR="00053151" w:rsidRPr="00053151" w:rsidRDefault="00053151" w:rsidP="00053151">
      <w:pPr>
        <w:pStyle w:val="BodyCopy"/>
      </w:pPr>
      <w:r w:rsidRPr="00053151">
        <w:rPr>
          <w:b/>
          <w:bCs/>
        </w:rPr>
        <w:t>CSA</w:t>
      </w:r>
      <w:r w:rsidRPr="00053151">
        <w:t xml:space="preserve"> – Canadian Standards Association</w:t>
      </w:r>
    </w:p>
    <w:p w14:paraId="104D2CB1" w14:textId="77777777" w:rsidR="00053151" w:rsidRPr="00053151" w:rsidRDefault="00053151" w:rsidP="00053151">
      <w:pPr>
        <w:pStyle w:val="BodyCopy"/>
      </w:pPr>
      <w:r w:rsidRPr="00053151">
        <w:rPr>
          <w:b/>
          <w:bCs/>
        </w:rPr>
        <w:lastRenderedPageBreak/>
        <w:t>DEI</w:t>
      </w:r>
      <w:r w:rsidRPr="00053151">
        <w:t xml:space="preserve"> – Diversity, Equity, and Inclusion</w:t>
      </w:r>
    </w:p>
    <w:p w14:paraId="7BB83C4B" w14:textId="77777777" w:rsidR="00053151" w:rsidRPr="00053151" w:rsidRDefault="00053151" w:rsidP="00053151">
      <w:pPr>
        <w:pStyle w:val="BodyCopy"/>
      </w:pPr>
      <w:r w:rsidRPr="00053151">
        <w:rPr>
          <w:b/>
          <w:bCs/>
        </w:rPr>
        <w:t>DEI&amp;A</w:t>
      </w:r>
      <w:r w:rsidRPr="00053151">
        <w:t xml:space="preserve"> – Diversity, Equity, Inclusion, and Accessibility</w:t>
      </w:r>
    </w:p>
    <w:p w14:paraId="65EDF9B6" w14:textId="77777777" w:rsidR="00053151" w:rsidRPr="00053151" w:rsidRDefault="00053151" w:rsidP="00053151">
      <w:pPr>
        <w:pStyle w:val="BodyCopy"/>
      </w:pPr>
      <w:r w:rsidRPr="00053151">
        <w:rPr>
          <w:b/>
          <w:bCs/>
        </w:rPr>
        <w:t>EDI</w:t>
      </w:r>
      <w:r w:rsidRPr="00053151">
        <w:t xml:space="preserve"> – Equity, Diversity, and Inclusion</w:t>
      </w:r>
    </w:p>
    <w:p w14:paraId="7591ADAE" w14:textId="77777777" w:rsidR="00053151" w:rsidRPr="00053151" w:rsidRDefault="00053151" w:rsidP="00053151">
      <w:pPr>
        <w:pStyle w:val="BodyCopy"/>
      </w:pPr>
      <w:r w:rsidRPr="00053151">
        <w:rPr>
          <w:b/>
          <w:bCs/>
        </w:rPr>
        <w:t>EEO</w:t>
      </w:r>
      <w:r w:rsidRPr="00053151">
        <w:t xml:space="preserve"> – Equal Employment Opportunity</w:t>
      </w:r>
    </w:p>
    <w:p w14:paraId="70C0E1FF" w14:textId="77777777" w:rsidR="00053151" w:rsidRPr="00053151" w:rsidRDefault="00053151" w:rsidP="00053151">
      <w:pPr>
        <w:pStyle w:val="BodyCopy"/>
      </w:pPr>
      <w:r w:rsidRPr="00053151">
        <w:rPr>
          <w:b/>
          <w:bCs/>
        </w:rPr>
        <w:t>ERG</w:t>
      </w:r>
      <w:r w:rsidRPr="00053151">
        <w:t xml:space="preserve"> – Employee Resource Group</w:t>
      </w:r>
    </w:p>
    <w:p w14:paraId="32AAE228" w14:textId="77777777" w:rsidR="00053151" w:rsidRPr="00053151" w:rsidRDefault="00053151" w:rsidP="00053151">
      <w:pPr>
        <w:pStyle w:val="BodyCopy"/>
      </w:pPr>
      <w:r w:rsidRPr="00053151">
        <w:rPr>
          <w:b/>
          <w:bCs/>
        </w:rPr>
        <w:t>ESG</w:t>
      </w:r>
      <w:r w:rsidRPr="00053151">
        <w:t xml:space="preserve"> – Environmental, Social, and Governance</w:t>
      </w:r>
    </w:p>
    <w:p w14:paraId="60B2EF5F" w14:textId="77777777" w:rsidR="00053151" w:rsidRPr="00053151" w:rsidRDefault="00053151" w:rsidP="00053151">
      <w:pPr>
        <w:pStyle w:val="BodyCopy"/>
      </w:pPr>
      <w:r w:rsidRPr="00053151">
        <w:rPr>
          <w:b/>
          <w:bCs/>
        </w:rPr>
        <w:t>HR</w:t>
      </w:r>
      <w:r w:rsidRPr="00053151">
        <w:t xml:space="preserve"> – Human Resources</w:t>
      </w:r>
    </w:p>
    <w:p w14:paraId="4B95FD5B" w14:textId="77777777" w:rsidR="00053151" w:rsidRPr="00053151" w:rsidRDefault="00053151" w:rsidP="00053151">
      <w:pPr>
        <w:pStyle w:val="BodyCopy"/>
      </w:pPr>
      <w:r w:rsidRPr="00053151">
        <w:rPr>
          <w:b/>
          <w:bCs/>
        </w:rPr>
        <w:t>IAAP</w:t>
      </w:r>
      <w:r w:rsidRPr="00053151">
        <w:t xml:space="preserve"> – International Association of Accessibility Professionals</w:t>
      </w:r>
    </w:p>
    <w:p w14:paraId="542570D6" w14:textId="77777777" w:rsidR="00053151" w:rsidRPr="00053151" w:rsidRDefault="00053151" w:rsidP="00053151">
      <w:pPr>
        <w:pStyle w:val="BodyCopy"/>
      </w:pPr>
      <w:r w:rsidRPr="00053151">
        <w:rPr>
          <w:b/>
          <w:bCs/>
        </w:rPr>
        <w:t>ICT</w:t>
      </w:r>
      <w:r w:rsidRPr="00053151">
        <w:t xml:space="preserve"> – Information and Communications Technology</w:t>
      </w:r>
    </w:p>
    <w:p w14:paraId="3B66A758" w14:textId="77777777" w:rsidR="00053151" w:rsidRPr="00053151" w:rsidRDefault="00053151" w:rsidP="00053151">
      <w:pPr>
        <w:pStyle w:val="BodyCopy"/>
      </w:pPr>
      <w:r w:rsidRPr="00053151">
        <w:rPr>
          <w:b/>
          <w:bCs/>
        </w:rPr>
        <w:t>IDEA</w:t>
      </w:r>
      <w:r w:rsidRPr="00053151">
        <w:t xml:space="preserve"> – Inclusion, Diversity, Equity, and Accessibility</w:t>
      </w:r>
    </w:p>
    <w:p w14:paraId="6C2EC07F" w14:textId="77777777" w:rsidR="00053151" w:rsidRPr="00053151" w:rsidRDefault="00053151" w:rsidP="00053151">
      <w:pPr>
        <w:pStyle w:val="BodyCopy"/>
      </w:pPr>
      <w:r w:rsidRPr="00053151">
        <w:rPr>
          <w:b/>
          <w:bCs/>
        </w:rPr>
        <w:t>ISO</w:t>
      </w:r>
      <w:r w:rsidRPr="00053151">
        <w:t xml:space="preserve"> – International Organization for Standardization</w:t>
      </w:r>
    </w:p>
    <w:p w14:paraId="589BA6B2" w14:textId="77777777" w:rsidR="00053151" w:rsidRPr="00053151" w:rsidRDefault="00053151" w:rsidP="00053151">
      <w:pPr>
        <w:pStyle w:val="BodyCopy"/>
      </w:pPr>
      <w:r w:rsidRPr="00053151">
        <w:rPr>
          <w:b/>
          <w:bCs/>
        </w:rPr>
        <w:t>IT</w:t>
      </w:r>
      <w:r w:rsidRPr="00053151">
        <w:t xml:space="preserve"> – Information Technology</w:t>
      </w:r>
    </w:p>
    <w:p w14:paraId="6656DD7E" w14:textId="77777777" w:rsidR="00053151" w:rsidRPr="00053151" w:rsidRDefault="00053151" w:rsidP="00053151">
      <w:pPr>
        <w:pStyle w:val="BodyCopy"/>
      </w:pPr>
      <w:r w:rsidRPr="00053151">
        <w:rPr>
          <w:b/>
          <w:bCs/>
        </w:rPr>
        <w:t>JAN</w:t>
      </w:r>
      <w:r w:rsidRPr="00053151">
        <w:t xml:space="preserve"> – Job Accommodation Network</w:t>
      </w:r>
    </w:p>
    <w:p w14:paraId="2D7C1B04" w14:textId="77777777" w:rsidR="00053151" w:rsidRPr="00053151" w:rsidRDefault="00053151" w:rsidP="00053151">
      <w:pPr>
        <w:pStyle w:val="BodyCopy"/>
      </w:pPr>
      <w:r w:rsidRPr="00053151">
        <w:rPr>
          <w:b/>
          <w:bCs/>
        </w:rPr>
        <w:t>MAS</w:t>
      </w:r>
      <w:r w:rsidRPr="00053151">
        <w:t xml:space="preserve"> – Multi-Dimensional Attitudes Scale</w:t>
      </w:r>
    </w:p>
    <w:p w14:paraId="0D25460B" w14:textId="77777777" w:rsidR="00053151" w:rsidRPr="00053151" w:rsidRDefault="00053151" w:rsidP="00053151">
      <w:pPr>
        <w:pStyle w:val="BodyCopy"/>
      </w:pPr>
      <w:r w:rsidRPr="00301F15">
        <w:rPr>
          <w:b/>
          <w:bCs/>
        </w:rPr>
        <w:t>NFRF</w:t>
      </w:r>
      <w:r w:rsidRPr="00053151">
        <w:t xml:space="preserve"> – New Frontiers in Research Fund (Government of Canada)</w:t>
      </w:r>
    </w:p>
    <w:p w14:paraId="69FCC273" w14:textId="77777777" w:rsidR="00053151" w:rsidRPr="00053151" w:rsidRDefault="00053151" w:rsidP="00053151">
      <w:pPr>
        <w:pStyle w:val="BodyCopy"/>
      </w:pPr>
      <w:r w:rsidRPr="00301F15">
        <w:rPr>
          <w:b/>
          <w:bCs/>
        </w:rPr>
        <w:t>PEAC</w:t>
      </w:r>
      <w:r w:rsidRPr="00053151">
        <w:t xml:space="preserve"> – Professional Education for Accessibility Competence</w:t>
      </w:r>
    </w:p>
    <w:p w14:paraId="20BCA74C" w14:textId="77777777" w:rsidR="00053151" w:rsidRPr="00053151" w:rsidRDefault="00053151" w:rsidP="00053151">
      <w:pPr>
        <w:pStyle w:val="BodyCopy"/>
      </w:pPr>
      <w:r w:rsidRPr="00301F15">
        <w:rPr>
          <w:b/>
          <w:bCs/>
        </w:rPr>
        <w:t>SOC480Y5</w:t>
      </w:r>
      <w:r w:rsidRPr="00053151">
        <w:t xml:space="preserve"> – University of Toronto Mississauga Sociology, Criminology, Law and Society Internship Course</w:t>
      </w:r>
    </w:p>
    <w:p w14:paraId="006AC935" w14:textId="77777777" w:rsidR="00053151" w:rsidRPr="00053151" w:rsidRDefault="00053151" w:rsidP="00053151">
      <w:pPr>
        <w:pStyle w:val="BodyCopy"/>
      </w:pPr>
      <w:r w:rsidRPr="00301F15">
        <w:rPr>
          <w:b/>
          <w:bCs/>
        </w:rPr>
        <w:t>UTM</w:t>
      </w:r>
      <w:r w:rsidRPr="00053151">
        <w:t xml:space="preserve"> – University of Toronto Mississauga</w:t>
      </w:r>
    </w:p>
    <w:p w14:paraId="1BB5AB61" w14:textId="77777777" w:rsidR="00053151" w:rsidRPr="00053151" w:rsidRDefault="00053151" w:rsidP="00053151">
      <w:pPr>
        <w:pStyle w:val="BodyCopy"/>
      </w:pPr>
      <w:r w:rsidRPr="00301F15">
        <w:rPr>
          <w:b/>
          <w:bCs/>
        </w:rPr>
        <w:t>WCAG</w:t>
      </w:r>
      <w:r w:rsidRPr="00053151">
        <w:t xml:space="preserve"> – Web Content Accessibility Guidelines</w:t>
      </w:r>
    </w:p>
    <w:p w14:paraId="4A930FDC" w14:textId="77777777" w:rsidR="00053151" w:rsidRPr="00053151" w:rsidRDefault="00053151" w:rsidP="00053151">
      <w:pPr>
        <w:sectPr w:rsidR="00053151" w:rsidRPr="00053151" w:rsidSect="009F7FEB">
          <w:pgSz w:w="12240" w:h="15840"/>
          <w:pgMar w:top="1728" w:right="1440" w:bottom="1080" w:left="1440" w:header="709" w:footer="317" w:gutter="0"/>
          <w:cols w:space="708"/>
          <w:docGrid w:linePitch="360"/>
        </w:sectPr>
      </w:pPr>
    </w:p>
    <w:p w14:paraId="5673E4C4" w14:textId="77777777" w:rsidR="00066CBC" w:rsidRDefault="002021AE" w:rsidP="00BB05DC">
      <w:pPr>
        <w:pStyle w:val="Heading2"/>
      </w:pPr>
      <w:bookmarkStart w:id="10" w:name="_Toc243923395"/>
      <w:r>
        <w:lastRenderedPageBreak/>
        <w:t>Definitions</w:t>
      </w:r>
      <w:bookmarkEnd w:id="10"/>
    </w:p>
    <w:p w14:paraId="1631513D" w14:textId="662E2CAF" w:rsidR="002021AE" w:rsidRPr="002021AE" w:rsidRDefault="002021AE" w:rsidP="002021AE"/>
    <w:p w14:paraId="62AFB479" w14:textId="56D6D842" w:rsidR="002021AE" w:rsidRPr="002021AE" w:rsidRDefault="002021AE" w:rsidP="002021AE">
      <w:pPr>
        <w:pStyle w:val="BodyCopy"/>
      </w:pPr>
      <w:r w:rsidRPr="002021AE">
        <w:rPr>
          <w:b/>
          <w:bCs/>
        </w:rPr>
        <w:t xml:space="preserve">Accessibility </w:t>
      </w:r>
      <w:r w:rsidRPr="002021AE">
        <w:t>–</w:t>
      </w:r>
      <w:r w:rsidRPr="002021AE">
        <w:rPr>
          <w:b/>
          <w:bCs/>
        </w:rPr>
        <w:t xml:space="preserve"> </w:t>
      </w:r>
      <w:r w:rsidRPr="002021AE">
        <w:t>Accessibility means designing environments, systems, services, and processes so that they can be used by as many people as possible, including people with disabilities, without needing special changes or adaptations. It is a proactive approach that focuses on removing barriers before they happen. For example, an accessible website is built to work with screen readers and keyboard navigation from the start, so that people who are blind or have limited mobility can use it easily. Accessibility is different from accommodation, which involves making individual adjustments after a barrier has already been encountered. In this report, accessibility is understood as a shared responsibility across an organization – not just a technical issue, but a part of everyday culture, planning, and decision-making that helps create inclusive workplaces for everyone.</w:t>
      </w:r>
    </w:p>
    <w:p w14:paraId="7D063CD5" w14:textId="127E2B8E" w:rsidR="002021AE" w:rsidRPr="002021AE" w:rsidRDefault="002021AE" w:rsidP="002021AE">
      <w:pPr>
        <w:pStyle w:val="BodyCopy"/>
      </w:pPr>
      <w:r w:rsidRPr="002021AE">
        <w:rPr>
          <w:b/>
          <w:bCs/>
        </w:rPr>
        <w:t>Accessibility competency (or accessibility competence)</w:t>
      </w:r>
      <w:r w:rsidRPr="002021AE">
        <w:t xml:space="preserve"> – The combination of knowledge, skills, behaviors, and practices that enable individuals and organizations to create and maintain an accessible and inclusive environment for people with disabilities. Accessibility competency goes beyond simply knowing the rules or laws. It involves practical abilities to identify barriers, implement solutions, and integrate accessibility considerations into everyday work. For example, an employee with strong accessibility competency not only understands accessibility standards but also knows how to design a presentation so that everyone, including people with vision or hearing loss, can participate fully. When we talk about building </w:t>
      </w:r>
      <w:r w:rsidRPr="00994626">
        <w:t>accessibility competency</w:t>
      </w:r>
      <w:r w:rsidRPr="002021AE">
        <w:t xml:space="preserve"> in the workplace, we mean helping people and organizations learn how to proactively ensure that all products, </w:t>
      </w:r>
      <w:r w:rsidRPr="002021AE">
        <w:lastRenderedPageBreak/>
        <w:t xml:space="preserve">services, and work practices are usable by everyone, including </w:t>
      </w:r>
      <w:proofErr w:type="gramStart"/>
      <w:r w:rsidRPr="002021AE">
        <w:t>persons</w:t>
      </w:r>
      <w:proofErr w:type="gramEnd"/>
      <w:r w:rsidRPr="002021AE">
        <w:t xml:space="preserve"> with disabilities.</w:t>
      </w:r>
    </w:p>
    <w:p w14:paraId="7358A45C" w14:textId="741628D0" w:rsidR="002021AE" w:rsidRPr="002021AE" w:rsidRDefault="002021AE" w:rsidP="002021AE">
      <w:pPr>
        <w:pStyle w:val="BodyCopy"/>
      </w:pPr>
      <w:r w:rsidRPr="002021AE">
        <w:rPr>
          <w:b/>
          <w:bCs/>
        </w:rPr>
        <w:t>Accommodation (in the context of disability)</w:t>
      </w:r>
      <w:r w:rsidRPr="002021AE">
        <w:t xml:space="preserve"> – A change or support provided to a person with a disability to help them overcome a specific barrier, typically after that barrier is already in place. </w:t>
      </w:r>
      <w:proofErr w:type="gramStart"/>
      <w:r w:rsidRPr="002021AE">
        <w:t>Accommodation</w:t>
      </w:r>
      <w:r>
        <w:t>s</w:t>
      </w:r>
      <w:r w:rsidRPr="002021AE">
        <w:t xml:space="preserve"> </w:t>
      </w:r>
      <w:r>
        <w:t>are</w:t>
      </w:r>
      <w:proofErr w:type="gramEnd"/>
      <w:r w:rsidRPr="002021AE">
        <w:t xml:space="preserve"> reactive solutions tailored to an individual’s needs. Examples include providing an employee with a screen-reader for computer access, offering a flexible work schedule for someone with a medical condition, or adjusting a workspace for a wheelchair user. </w:t>
      </w:r>
      <w:proofErr w:type="gramStart"/>
      <w:r w:rsidRPr="002021AE">
        <w:t>Accommodations are</w:t>
      </w:r>
      <w:proofErr w:type="gramEnd"/>
      <w:r w:rsidRPr="002021AE">
        <w:t xml:space="preserve"> essential for inclusion, but because they often address issues on a case-by-case basis (and sometimes only after a person encounters a problem), they are considered </w:t>
      </w:r>
      <w:r w:rsidRPr="002021AE">
        <w:rPr>
          <w:i/>
          <w:iCs/>
        </w:rPr>
        <w:t>ad hoc</w:t>
      </w:r>
      <w:r w:rsidRPr="002021AE">
        <w:t xml:space="preserve"> remedies. In contrast, see </w:t>
      </w:r>
      <w:r>
        <w:t>“</w:t>
      </w:r>
      <w:r w:rsidRPr="002021AE">
        <w:t>Accessibility</w:t>
      </w:r>
      <w:r>
        <w:t>”</w:t>
      </w:r>
      <w:r w:rsidRPr="002021AE">
        <w:t xml:space="preserve"> (as defined in this report) which focuses on proactively removing barriers for everyone from the start.</w:t>
      </w:r>
    </w:p>
    <w:p w14:paraId="2AA65216" w14:textId="77777777" w:rsidR="002021AE" w:rsidRPr="002021AE" w:rsidRDefault="002021AE" w:rsidP="002021AE">
      <w:pPr>
        <w:pStyle w:val="BodyCopy"/>
      </w:pPr>
      <w:r w:rsidRPr="002021AE">
        <w:rPr>
          <w:b/>
          <w:bCs/>
        </w:rPr>
        <w:t>Assistive technology</w:t>
      </w:r>
      <w:r w:rsidRPr="002021AE">
        <w:t xml:space="preserve"> – Devices, tools, or software that help people with disabilities perform tasks, communicate, or access information more easily. These technologies compensate for challenges and allow individuals greater independence. Examples of assistive technology include screen readers (which read text aloud for people who are blind or have low vision), hearing aids and closed captioning for people who are Deaf or hard of hearing, speech-to-text software that </w:t>
      </w:r>
      <w:proofErr w:type="gramStart"/>
      <w:r w:rsidRPr="002021AE">
        <w:t>types</w:t>
      </w:r>
      <w:proofErr w:type="gramEnd"/>
      <w:r w:rsidRPr="002021AE">
        <w:t xml:space="preserve"> words as someone speaks, alternative keyboards or mice for people with mobility impairments, and specialized apps that help people with learning or cognitive disabilities. In short, assistive technologies are any products or systems that </w:t>
      </w:r>
      <w:r w:rsidRPr="002021AE">
        <w:rPr>
          <w:i/>
          <w:iCs/>
        </w:rPr>
        <w:t>assist</w:t>
      </w:r>
      <w:r w:rsidRPr="002021AE">
        <w:t xml:space="preserve"> individuals with disabilities in their daily activities and enable them to participate fully in work and life.</w:t>
      </w:r>
    </w:p>
    <w:p w14:paraId="49A7E8CA" w14:textId="53708701" w:rsidR="002021AE" w:rsidRPr="002021AE" w:rsidRDefault="002021AE" w:rsidP="002021AE">
      <w:pPr>
        <w:pStyle w:val="BodyCopy"/>
      </w:pPr>
      <w:r w:rsidRPr="002021AE">
        <w:rPr>
          <w:b/>
          <w:bCs/>
        </w:rPr>
        <w:t>Born accessible</w:t>
      </w:r>
      <w:r w:rsidRPr="002021AE">
        <w:t xml:space="preserve"> – A principle and design approach which means that something is created from the outset to be accessible to the widest range of people, including those with disabilities. A “born accessible” product, document, process, or environment is designed from the very beginning </w:t>
      </w:r>
      <w:r w:rsidRPr="002021AE">
        <w:lastRenderedPageBreak/>
        <w:t>with accessibility in mind, rather than being modified after the fact. For example, a born accessible website would be built to meet recognized web accessibility standards from day one (e.g., with proper text descriptions for images and captions for videos), so that users with disabilities can use it without requiring special fixes or accommodations later. The idea behind born accessible design is that it is more effective and efficient to consider diverse needs early</w:t>
      </w:r>
      <w:r>
        <w:t xml:space="preserve">, </w:t>
      </w:r>
      <w:r w:rsidRPr="002021AE">
        <w:t>integrating features like high-contrast text, simple language, or step-free physical access during the planning stage</w:t>
      </w:r>
      <w:r>
        <w:t xml:space="preserve">, </w:t>
      </w:r>
      <w:r w:rsidRPr="002021AE">
        <w:t xml:space="preserve">rather than having to make costly or time-consuming adjustments once barriers have already been created. Born accessible design aligns closely with universal design principles and helps ensure more consistent, inclusive experiences for everyone. It does not eliminate the need for individual </w:t>
      </w:r>
      <w:proofErr w:type="gramStart"/>
      <w:r w:rsidRPr="002021AE">
        <w:t>accommodations</w:t>
      </w:r>
      <w:proofErr w:type="gramEnd"/>
      <w:r w:rsidRPr="002021AE">
        <w:t xml:space="preserve"> entirely, but it significantly reduces the number of barriers people might face by minimizing those barriers from the start.</w:t>
      </w:r>
    </w:p>
    <w:p w14:paraId="499A5C35" w14:textId="77777777" w:rsidR="002021AE" w:rsidRPr="002021AE" w:rsidRDefault="002021AE" w:rsidP="002021AE">
      <w:pPr>
        <w:pStyle w:val="BodyCopy"/>
      </w:pPr>
      <w:r w:rsidRPr="002021AE">
        <w:rPr>
          <w:b/>
          <w:bCs/>
        </w:rPr>
        <w:t>Co-design</w:t>
      </w:r>
      <w:r w:rsidRPr="002021AE">
        <w:t xml:space="preserve"> – A collaborative approach to design and problem-solving where the people who are affected by an issue (such as people with disabilities, in the context of accessibility) actively work together with professionals and </w:t>
      </w:r>
      <w:proofErr w:type="gramStart"/>
      <w:r w:rsidRPr="002021AE">
        <w:t>decision-makers</w:t>
      </w:r>
      <w:proofErr w:type="gramEnd"/>
      <w:r w:rsidRPr="002021AE">
        <w:t xml:space="preserve"> to develop solutions. The key idea of co-design is “Nothing About Us Without Us,” meaning that decisions and designs intended to benefit a group (like persons with disabilities) should not be made without the direct input and partnership of members of that group. In a co-design process, individuals with lived experience of disability are treated as experts in their own needs and are involved from the beginning in shaping projects, policies, or products. This can happen through workshops, focus groups, advisory committees, or other participatory methods. Co-design goes beyond token consultation – it ensures that the voices of those with firsthand experience guide decision-making. In the context of this report, co-design is considered an important competency and part of building an accessible organizational culture, because working with the community (rather than designing </w:t>
      </w:r>
      <w:r w:rsidRPr="002021AE">
        <w:rPr>
          <w:i/>
          <w:iCs/>
        </w:rPr>
        <w:t>for</w:t>
      </w:r>
      <w:r w:rsidRPr="002021AE">
        <w:t xml:space="preserve"> them in isolation) leads to more effective and inclusive outcomes.</w:t>
      </w:r>
    </w:p>
    <w:p w14:paraId="41D03A64" w14:textId="77777777" w:rsidR="002021AE" w:rsidRPr="002021AE" w:rsidRDefault="002021AE" w:rsidP="002021AE">
      <w:pPr>
        <w:pStyle w:val="BodyCopy"/>
      </w:pPr>
      <w:r w:rsidRPr="002021AE">
        <w:rPr>
          <w:b/>
          <w:bCs/>
        </w:rPr>
        <w:lastRenderedPageBreak/>
        <w:t>Cultural humility</w:t>
      </w:r>
      <w:r w:rsidRPr="002021AE">
        <w:t xml:space="preserve"> – An approach and mindset of always being open to learning about the experiences and perspectives of others, especially those from different cultural or social backgrounds, and recognizing the limits of one’s own knowledge. Practicing cultural humility means acknowledging that no one ever “finishes” learning about others’ experiences – instead, a person continuously engages in self-reflection and asks questions to better understand and respect differences. In the context of accessibility and inclusion, cultural humility involves being aware of power imbalances and biases (for example, between people with and without disabilities, or between individuals of different backgrounds) and striving to balance those by actively listening and valuing others’ input. A professional showing cultural humility might admit when they don’t understand something about another person’s experience and invite that person to share their perspective. This concept is important in accessibility work because it reminds organizations and individuals that they should not assume they fully understand the experiences of people with disabilities. Instead, they should remain open-minded, respectful, and willing to learn from the lived experiences of others. Cultural humility supports better partnerships with people with disabilities and helps ensure that inclusion efforts are guided by respect and understanding rather than by assumptions.</w:t>
      </w:r>
    </w:p>
    <w:p w14:paraId="6C5CDFB3" w14:textId="5E4C3CFD" w:rsidR="002021AE" w:rsidRPr="002021AE" w:rsidRDefault="002021AE" w:rsidP="002021AE">
      <w:pPr>
        <w:pStyle w:val="BodyCopy"/>
      </w:pPr>
      <w:r w:rsidRPr="002021AE">
        <w:rPr>
          <w:b/>
          <w:bCs/>
        </w:rPr>
        <w:t>Epistemic justice</w:t>
      </w:r>
      <w:r w:rsidRPr="002021AE">
        <w:t xml:space="preserve"> – The principle that everybody’s knowledge and voice should be respected and valued fairly, especially the knowledge of people from marginalized or underrepresented groups. “Epistemic” relates to knowledge, so epistemic justice is about justice (fairness) in knowledge-sharing and decision-making. In the context of this report, the term highlights the idea that people with disabilities (and other marginalized communities) have important knowledge from their own experiences, but historically their knowledge has often been ignored, dismissed, or undervalued by society and institutions. Epistemic justice means correcting that imbalance: ensuring that these lived experiences are recognized as valid and important sources of expertise. For example, if a company is </w:t>
      </w:r>
      <w:r w:rsidRPr="002021AE">
        <w:lastRenderedPageBreak/>
        <w:t>developing a new workplace policy, epistemic justice would mean actively including and valuing input from employees with disabilities about how the policy might impact them, rather than if only managers or external “experts” know what’s best. Embracing epistemic justice leads to better decisions and more equitable outcomes, because policies and practices are informed by a diverse range of perspectives, including those who have traditionally been excluded from shaping knowledge and solutions.</w:t>
      </w:r>
    </w:p>
    <w:p w14:paraId="41FEB9E8" w14:textId="155A5947" w:rsidR="002021AE" w:rsidRPr="002021AE" w:rsidRDefault="002021AE" w:rsidP="002021AE">
      <w:pPr>
        <w:pStyle w:val="BodyCopy"/>
      </w:pPr>
      <w:r w:rsidRPr="002021AE">
        <w:rPr>
          <w:b/>
          <w:bCs/>
        </w:rPr>
        <w:t>Intersectionality</w:t>
      </w:r>
      <w:r w:rsidRPr="002021AE">
        <w:t xml:space="preserve"> – A term describing how different aspects of a person’s identity can combine to create unique experiences of advantage or disadvantage. Originally coined by scholar Kimberlé Crenshaw, intersectionality is the idea that people have multiple overlapping identities</w:t>
      </w:r>
      <w:r>
        <w:t xml:space="preserve">, </w:t>
      </w:r>
      <w:r w:rsidRPr="002021AE">
        <w:t>such as disability, race, gender, class, sexuality, age, and others</w:t>
      </w:r>
      <w:r>
        <w:t>,</w:t>
      </w:r>
      <w:r w:rsidRPr="002021AE">
        <w:t xml:space="preserve"> and these identities interact with each other. In practice, this means an individual who belongs to more than one marginalized group may experience distinct challenges or discrimination that cannot be understood by looking at just one aspect of their identity. For example, a woman with a disability may face different barriers in the workplace than a man with a disability, because her experiences are shaped by both her gender and her disability. Similarly, an Indigenous person with a disability might encounter barriers that are influenced by both their cultural background and their disability. Intersectionality reminds us that accessibility and inclusion efforts must consider the whole person. In workplace accessibility, using an “intersectional lens” means recognizing that people’s needs and experiences can be affected by multiple social factors at once, and effective inclusion must address this complexity.</w:t>
      </w:r>
    </w:p>
    <w:p w14:paraId="642ED810" w14:textId="7F3767C6" w:rsidR="002021AE" w:rsidRPr="002021AE" w:rsidRDefault="002021AE" w:rsidP="002021AE">
      <w:pPr>
        <w:pStyle w:val="BodyCopy"/>
      </w:pPr>
      <w:r w:rsidRPr="002021AE">
        <w:rPr>
          <w:b/>
          <w:bCs/>
        </w:rPr>
        <w:t>Organizational signaling</w:t>
      </w:r>
      <w:r w:rsidRPr="002021AE">
        <w:t xml:space="preserve"> – How an organization </w:t>
      </w:r>
      <w:r w:rsidRPr="002021AE">
        <w:rPr>
          <w:i/>
          <w:iCs/>
        </w:rPr>
        <w:t>signals</w:t>
      </w:r>
      <w:r w:rsidRPr="002021AE">
        <w:t xml:space="preserve"> (i.e., communicates or shows) its values and priorities to the public and to its stakeholders through its actions, policies, and communications. In this report, the term refers specifically to the messages an organization sends about its commitment to accessibility and inclusion for people with disabilities. For example, an organization might demonstrate strong </w:t>
      </w:r>
      <w:r w:rsidRPr="002021AE">
        <w:lastRenderedPageBreak/>
        <w:t xml:space="preserve">organizational signaling on accessibility by clearly stating its commitment to disability inclusion in its mission statement and diversity policies, by publishing an accessibility action plan or regular accessibility reports, and by advertising how it accommodates employees or customers with disabilities. On the other hand, if a company never mentions disability or accessibility in its public materials, or if it provides only vague, general statements without details, it may be </w:t>
      </w:r>
      <w:r w:rsidRPr="002021AE">
        <w:rPr>
          <w:i/>
          <w:iCs/>
        </w:rPr>
        <w:t>signaling</w:t>
      </w:r>
      <w:r w:rsidRPr="002021AE">
        <w:t xml:space="preserve"> (intentionally or unintentionally) that accessibility is not a high priority. Stakeholders</w:t>
      </w:r>
      <w:r>
        <w:t xml:space="preserve">, </w:t>
      </w:r>
      <w:r w:rsidRPr="002021AE">
        <w:t xml:space="preserve">including employees, job seekers, customers, and </w:t>
      </w:r>
      <w:r w:rsidR="00EB7418" w:rsidRPr="002021AE">
        <w:t>investors</w:t>
      </w:r>
      <w:r>
        <w:t>,</w:t>
      </w:r>
      <w:r w:rsidRPr="002021AE">
        <w:t xml:space="preserve"> pick up on these signals. In short, organizational signaling is the way a company “walks the talk” (or fails to) about issues like accessibility. It matters because it influences how the public and employees perceive the organization’s true commitment to creating an inclusive and accessible environment.</w:t>
      </w:r>
    </w:p>
    <w:p w14:paraId="7423D565" w14:textId="4BF715D1" w:rsidR="002021AE" w:rsidRPr="002021AE" w:rsidRDefault="002021AE" w:rsidP="002021AE">
      <w:pPr>
        <w:pStyle w:val="BodyCopy"/>
      </w:pPr>
      <w:r w:rsidRPr="002021AE">
        <w:rPr>
          <w:b/>
          <w:bCs/>
        </w:rPr>
        <w:t>Social model of disability</w:t>
      </w:r>
      <w:r w:rsidRPr="002021AE">
        <w:t xml:space="preserve"> – A way of understanding disability that focuses on how society and the environment enable or disable people, rather than viewing disability as only a medical problem or personal deficit. Under the social model, a person’s condition (for example, blindness, deafness, mobility impairment, autism, etc.) is not seen as the </w:t>
      </w:r>
      <w:r w:rsidRPr="002021AE">
        <w:rPr>
          <w:i/>
          <w:iCs/>
        </w:rPr>
        <w:t>sole</w:t>
      </w:r>
      <w:r w:rsidRPr="002021AE">
        <w:t xml:space="preserve"> issue. Instead, disability is understood to result from the mismatch between a person’s unique traits and an environment that hasn’t been designed to accommodate those traits. For instance, if a wheelchair user cannot enter a building, the social model would point out that the problem is </w:t>
      </w:r>
      <w:r w:rsidRPr="002021AE">
        <w:rPr>
          <w:i/>
          <w:iCs/>
        </w:rPr>
        <w:t>not</w:t>
      </w:r>
      <w:r w:rsidRPr="002021AE">
        <w:t xml:space="preserve"> the wheelchair or the person’s condition</w:t>
      </w:r>
      <w:r>
        <w:t xml:space="preserve">, </w:t>
      </w:r>
      <w:r w:rsidRPr="002021AE">
        <w:t xml:space="preserve">the problem is that the building has stairs and no ramp or elevator. In contrast, the older “medical model” of disability focuses on diagnosing and “fixing” the individual’s impairment. The social model shifts focus to fixing the environment and social attitudes. This report is grounded in the social model of disability. It emphasizes that workplaces create or remove barriers through their culture, policies, technology, and physical spaces. By adopting the social model, organizations recognize that they have a responsibility to change their </w:t>
      </w:r>
      <w:r w:rsidRPr="002021AE">
        <w:lastRenderedPageBreak/>
        <w:t>practices and environment to be inclusive, rather than expecting people with disabilities to navigate or “overcome” barriers that should not have been there in the first place.</w:t>
      </w:r>
    </w:p>
    <w:p w14:paraId="1DBE8000" w14:textId="77777777" w:rsidR="002021AE" w:rsidRPr="002021AE" w:rsidRDefault="002021AE" w:rsidP="002021AE">
      <w:pPr>
        <w:pStyle w:val="BodyCopy"/>
      </w:pPr>
      <w:r w:rsidRPr="002021AE">
        <w:rPr>
          <w:b/>
          <w:bCs/>
        </w:rPr>
        <w:t>Sociotechnical systems (or sociotechnical approach)</w:t>
      </w:r>
      <w:r w:rsidRPr="002021AE">
        <w:t xml:space="preserve"> – A concept that highlights how outcomes in a workplace result from the interaction between people (social systems) and technology or processes (technical systems). Rather than looking at technical solutions or human behaviors in isolation, a sociotechnical approach understands that true progress comes from aligning both the human side (such as organizational culture, staff training, management structures) and the technical side (such as tools, software, physical infrastructure, procedures). In the context of accessibility, treating something as a sociotechnical system means recognizing that an accessible workplace is achieved by coordinating social factors (like company policies, employee attitudes, and practices) and technical factors (like accessible technology, building design, and accessible information systems) together. For example, providing an accessible software tool alone is not enough if employees are not trained to use it or if policies don’t support its implementation – all parts need to work in sync. Viewing accessibility as a sociotechnical system encourages organizations to address both the technology (making sure digital platforms, websites, and equipment are accessible) and the social environment (ensuring staff are trained, policies are inclusive, and leadership is supportive) at the same time.</w:t>
      </w:r>
    </w:p>
    <w:p w14:paraId="304140AA" w14:textId="77777777" w:rsidR="002021AE" w:rsidRPr="002021AE" w:rsidRDefault="002021AE" w:rsidP="002021AE">
      <w:pPr>
        <w:pStyle w:val="BodyCopy"/>
      </w:pPr>
      <w:r w:rsidRPr="002021AE">
        <w:rPr>
          <w:b/>
          <w:bCs/>
        </w:rPr>
        <w:t>Universal design</w:t>
      </w:r>
      <w:r w:rsidRPr="002021AE">
        <w:t xml:space="preserve"> – The practice of designing products, environments, programs, and experiences to be usable by all people, to the greatest extent possible, without needing adaptation or specialized design </w:t>
      </w:r>
      <w:proofErr w:type="gramStart"/>
      <w:r w:rsidRPr="002021AE">
        <w:t>later on</w:t>
      </w:r>
      <w:proofErr w:type="gramEnd"/>
      <w:r w:rsidRPr="002021AE">
        <w:t xml:space="preserve">. It is sometimes called “design for all.” The goal of universal design is to make things like buildings, technologies, communications, and services work for everyone from the start – including people of different ages, sizes, abilities, and disabilities. Rather than adding special features for people with disabilities as an afterthought, universal design principles encourage </w:t>
      </w:r>
      <w:r w:rsidRPr="002021AE">
        <w:lastRenderedPageBreak/>
        <w:t xml:space="preserve">planning ahead for human diversity. For example, a building entrance designed with a ramp and automatic doors from the outset </w:t>
      </w:r>
      <w:proofErr w:type="gramStart"/>
      <w:r w:rsidRPr="002021AE">
        <w:t>is following</w:t>
      </w:r>
      <w:proofErr w:type="gramEnd"/>
      <w:r w:rsidRPr="002021AE">
        <w:t xml:space="preserve"> universal design, because it allows wheelchair users, people pushing strollers, or someone with a cart to all enter easily through the same entrance. A document written in plain language with clear fonts and headings is another example, as it is more easily understood by people with cognitive disabilities (and benefits other readers too). By removing barriers at the design stage, universal design creates solutions that are broadly accessible and reduce the need for individual accommodations. It aligns with the idea that good design should work for as many people as possible, and it tends to improve usability and convenience for everyone, not only people with disabilities.</w:t>
      </w:r>
    </w:p>
    <w:p w14:paraId="2ED0A677" w14:textId="078BAEFC" w:rsidR="002021AE" w:rsidRPr="002021AE" w:rsidRDefault="002021AE" w:rsidP="002021AE">
      <w:pPr>
        <w:sectPr w:rsidR="002021AE" w:rsidRPr="002021AE" w:rsidSect="009F7FEB">
          <w:pgSz w:w="12240" w:h="15840"/>
          <w:pgMar w:top="1728" w:right="1440" w:bottom="1080" w:left="1440" w:header="709" w:footer="317" w:gutter="0"/>
          <w:cols w:space="708"/>
          <w:docGrid w:linePitch="360"/>
        </w:sectPr>
      </w:pPr>
    </w:p>
    <w:p w14:paraId="5DABE689" w14:textId="77777777" w:rsidR="00066CBC" w:rsidRDefault="007236A0" w:rsidP="00BB05DC">
      <w:pPr>
        <w:pStyle w:val="Heading2"/>
      </w:pPr>
      <w:bookmarkStart w:id="11" w:name="_Toc243923396"/>
      <w:r>
        <w:lastRenderedPageBreak/>
        <w:t xml:space="preserve">Chapter 1. </w:t>
      </w:r>
      <w:r w:rsidR="00066CBC">
        <w:t>Executive summar</w:t>
      </w:r>
      <w:r w:rsidR="00837FE9">
        <w:t>y</w:t>
      </w:r>
      <w:bookmarkEnd w:id="11"/>
    </w:p>
    <w:p w14:paraId="5D2FA538" w14:textId="5E8446C2" w:rsidR="00FC368E" w:rsidRPr="00FC368E" w:rsidRDefault="00FC368E" w:rsidP="00FC368E">
      <w:pPr>
        <w:pStyle w:val="BodyCopy"/>
      </w:pPr>
      <w:r w:rsidRPr="00FC368E">
        <w:t xml:space="preserve">This report examines how organizations can build a strong culture of accessibility and inclusion in the workplace. It introduces the Accessibility and Inclusion Competencies Framework, a comprehensive model of the knowledge, skills, behaviors, and organizational practices needed to create truly accessible workplaces for </w:t>
      </w:r>
      <w:proofErr w:type="gramStart"/>
      <w:r w:rsidRPr="00FC368E">
        <w:t>persons</w:t>
      </w:r>
      <w:proofErr w:type="gramEnd"/>
      <w:r w:rsidRPr="00FC368E">
        <w:t xml:space="preserve"> with disabilities. Developed through extensive research</w:t>
      </w:r>
      <w:r w:rsidR="00994626">
        <w:t xml:space="preserve">, </w:t>
      </w:r>
      <w:r w:rsidRPr="00FC368E">
        <w:t>including a literature review, an environmental scan of current practices, and co-design sessions with experts and people with lived experience of disability</w:t>
      </w:r>
      <w:r w:rsidR="00994626">
        <w:t>,</w:t>
      </w:r>
      <w:r w:rsidRPr="00FC368E">
        <w:t xml:space="preserve"> the framework provides practical guidance to move beyond compliance and toward sustainable inclusion.</w:t>
      </w:r>
    </w:p>
    <w:p w14:paraId="48751D8A" w14:textId="77777777" w:rsidR="00FC368E" w:rsidRDefault="00FC368E" w:rsidP="00CB40B5">
      <w:pPr>
        <w:pStyle w:val="Heading3"/>
      </w:pPr>
      <w:bookmarkStart w:id="12" w:name="_Toc243923397"/>
      <w:r w:rsidRPr="00FC368E">
        <w:t>Purpose of the Report</w:t>
      </w:r>
      <w:bookmarkEnd w:id="12"/>
    </w:p>
    <w:p w14:paraId="07E244C4" w14:textId="74F20E2E" w:rsidR="00FC368E" w:rsidRPr="00FC368E" w:rsidRDefault="00FC368E" w:rsidP="00FC368E">
      <w:pPr>
        <w:pStyle w:val="BodyCopy"/>
      </w:pPr>
      <w:r w:rsidRPr="00FC368E">
        <w:t xml:space="preserve">The </w:t>
      </w:r>
      <w:r w:rsidRPr="00FC368E">
        <w:rPr>
          <w:b/>
          <w:bCs/>
        </w:rPr>
        <w:t>Accessibility and Inclusion Competencies: A Culture</w:t>
      </w:r>
      <w:r w:rsidRPr="00FC368E">
        <w:rPr>
          <w:b/>
          <w:bCs/>
        </w:rPr>
        <w:noBreakHyphen/>
        <w:t>Building Framework for Inclusive Workplaces</w:t>
      </w:r>
      <w:r w:rsidRPr="00FC368E">
        <w:t xml:space="preserve"> project was initiated to address persistent gaps between policy and practice in disability inclusion. Despite laws like the Accessible Canada Act (2019) and provincial standards (e.g., the AODA) requiring organizations to remove barriers, many employers remain stuck in a compliance-focused mindset. They may provide basic training or </w:t>
      </w:r>
      <w:proofErr w:type="gramStart"/>
      <w:r w:rsidRPr="00FC368E">
        <w:t>accommodations</w:t>
      </w:r>
      <w:proofErr w:type="gramEnd"/>
      <w:r w:rsidRPr="00FC368E">
        <w:t xml:space="preserve"> to meet minimum </w:t>
      </w:r>
      <w:proofErr w:type="gramStart"/>
      <w:r w:rsidRPr="00FC368E">
        <w:t>requirements, yet</w:t>
      </w:r>
      <w:proofErr w:type="gramEnd"/>
      <w:r w:rsidRPr="00FC368E">
        <w:t xml:space="preserve"> still struggle to achieve meaningful accessibility in daily workplace culture. This report responds to an identified need for clearer guidance on “how” to operationalize accessibility across all levels of an organization. Its goal is to help </w:t>
      </w:r>
      <w:proofErr w:type="gramStart"/>
      <w:r w:rsidRPr="00FC368E">
        <w:t>decision-makers</w:t>
      </w:r>
      <w:proofErr w:type="gramEnd"/>
      <w:r w:rsidRPr="00FC368E">
        <w:t>, policy leaders, and practitioners understand and apply a practical competency-based framework that fosters an accessible organizational culture</w:t>
      </w:r>
      <w:r>
        <w:t xml:space="preserve">, </w:t>
      </w:r>
      <w:r w:rsidRPr="00FC368E">
        <w:t>one where inclusion is embedded in every policy, process, and role, rather than treated as a one-time project or a checkbox exercise.</w:t>
      </w:r>
    </w:p>
    <w:p w14:paraId="1B77745C" w14:textId="77777777" w:rsidR="00FC368E" w:rsidRDefault="00FC368E" w:rsidP="00CB40B5">
      <w:pPr>
        <w:pStyle w:val="Heading3"/>
      </w:pPr>
      <w:bookmarkStart w:id="13" w:name="_Toc243923398"/>
      <w:r w:rsidRPr="00FC368E">
        <w:lastRenderedPageBreak/>
        <w:t>The Accessibility Competency Framework</w:t>
      </w:r>
      <w:bookmarkEnd w:id="13"/>
    </w:p>
    <w:p w14:paraId="3D740A50" w14:textId="77777777" w:rsidR="00FC368E" w:rsidRPr="002021AE" w:rsidRDefault="00FC368E" w:rsidP="00FC368E">
      <w:pPr>
        <w:pStyle w:val="BodyCopy"/>
      </w:pPr>
      <w:r w:rsidRPr="002021AE">
        <w:t xml:space="preserve">At the heart of the report is a proposed Accessibility and Inclusion Competency Framework co-designed by CNIB and its partners. This framework outlines five key competency domains that organizations should cultivate: </w:t>
      </w:r>
    </w:p>
    <w:p w14:paraId="6A83BEF4" w14:textId="77777777" w:rsidR="00FC368E" w:rsidRPr="002021AE" w:rsidRDefault="00FC368E" w:rsidP="00FC368E">
      <w:pPr>
        <w:pStyle w:val="BodyCopy"/>
        <w:numPr>
          <w:ilvl w:val="0"/>
          <w:numId w:val="14"/>
        </w:numPr>
      </w:pPr>
      <w:r w:rsidRPr="002021AE">
        <w:t xml:space="preserve">partnering with people with lived experience of disability in co-design and decision-making; </w:t>
      </w:r>
    </w:p>
    <w:p w14:paraId="1B46C8EC" w14:textId="77777777" w:rsidR="00FC368E" w:rsidRPr="002021AE" w:rsidRDefault="00FC368E" w:rsidP="00FC368E">
      <w:pPr>
        <w:pStyle w:val="BodyCopy"/>
        <w:numPr>
          <w:ilvl w:val="0"/>
          <w:numId w:val="14"/>
        </w:numPr>
      </w:pPr>
      <w:r w:rsidRPr="002021AE">
        <w:t xml:space="preserve">born-accessible design, meaning designing processes and systems to be accessible from the start; </w:t>
      </w:r>
    </w:p>
    <w:p w14:paraId="4492825B" w14:textId="77777777" w:rsidR="00FC368E" w:rsidRPr="002021AE" w:rsidRDefault="00FC368E" w:rsidP="00FC368E">
      <w:pPr>
        <w:pStyle w:val="BodyCopy"/>
        <w:numPr>
          <w:ilvl w:val="0"/>
          <w:numId w:val="14"/>
        </w:numPr>
      </w:pPr>
      <w:r w:rsidRPr="002021AE">
        <w:t xml:space="preserve">inclusive communication and engagement practices that ensure everyone can participate equitably; </w:t>
      </w:r>
    </w:p>
    <w:p w14:paraId="094D0001" w14:textId="77777777" w:rsidR="00FC368E" w:rsidRPr="002021AE" w:rsidRDefault="00FC368E" w:rsidP="00FC368E">
      <w:pPr>
        <w:pStyle w:val="BodyCopy"/>
        <w:numPr>
          <w:ilvl w:val="0"/>
          <w:numId w:val="14"/>
        </w:numPr>
      </w:pPr>
      <w:r w:rsidRPr="002021AE">
        <w:t xml:space="preserve"> digital and information accessibility, addressing the accessibility of technology and information systems; and </w:t>
      </w:r>
    </w:p>
    <w:p w14:paraId="640F507E" w14:textId="3C14E975" w:rsidR="00FC368E" w:rsidRPr="002021AE" w:rsidRDefault="00FC368E" w:rsidP="00FC368E">
      <w:pPr>
        <w:pStyle w:val="BodyCopy"/>
        <w:numPr>
          <w:ilvl w:val="0"/>
          <w:numId w:val="14"/>
        </w:numPr>
      </w:pPr>
      <w:r w:rsidRPr="002021AE">
        <w:t xml:space="preserve">organizational accessibility and accountability, which covers leadership, policy, and governance measures to sustain accessibility long-term. </w:t>
      </w:r>
    </w:p>
    <w:p w14:paraId="61770DB6" w14:textId="42C65CAF" w:rsidR="00FC368E" w:rsidRPr="00FC368E" w:rsidRDefault="00FC368E" w:rsidP="00FC368E">
      <w:pPr>
        <w:pStyle w:val="BodyCopy"/>
      </w:pPr>
      <w:r w:rsidRPr="00FC368E">
        <w:t xml:space="preserve">Each domain is defined and accompanied by progressive competency levels, from foundational awareness to strategic leadership, illustrating how individuals and organizations can advance over time. </w:t>
      </w:r>
    </w:p>
    <w:p w14:paraId="0E74CA81" w14:textId="4EDE894E" w:rsidR="00FC368E" w:rsidRPr="00FC368E" w:rsidRDefault="00FC368E" w:rsidP="00FC368E">
      <w:pPr>
        <w:pStyle w:val="BodyCopy"/>
      </w:pPr>
      <w:r w:rsidRPr="00FC368E">
        <w:t xml:space="preserve">Rather than serving as a technical checklist, the framework functions as a practical tool for reflection and planning. It helps organizations identify gaps, assign clear roles, and integrate accessibility into everyday operations. By using common language across different job roles, the framework enables coordination between teams (for example, Human Resources, IT, communications, and facilities) so that accessibility is no longer siloed or left to a few specialists. In short, the framework reframes </w:t>
      </w:r>
      <w:r w:rsidRPr="00FC368E">
        <w:lastRenderedPageBreak/>
        <w:t>accessibility as an ongoing organizational learning process and a shared responsibility across all departments and levels of leadership.</w:t>
      </w:r>
    </w:p>
    <w:p w14:paraId="04FC72AC" w14:textId="63C7E36F" w:rsidR="00FC368E" w:rsidRDefault="00FC368E" w:rsidP="00CB40B5">
      <w:pPr>
        <w:pStyle w:val="Heading3"/>
      </w:pPr>
      <w:bookmarkStart w:id="14" w:name="_Toc243923399"/>
      <w:r w:rsidRPr="00FC368E">
        <w:t>Key Findings and Case for Change</w:t>
      </w:r>
      <w:bookmarkEnd w:id="14"/>
      <w:r w:rsidRPr="00FC368E">
        <w:t xml:space="preserve"> </w:t>
      </w:r>
    </w:p>
    <w:p w14:paraId="31896C4A" w14:textId="4A46461C" w:rsidR="00FC368E" w:rsidRPr="00FC368E" w:rsidRDefault="00FC368E" w:rsidP="00FC368E">
      <w:pPr>
        <w:pStyle w:val="BodyCopy"/>
      </w:pPr>
      <w:r w:rsidRPr="00FC368E">
        <w:t xml:space="preserve">The research underpinning this report found significant gaps between formal commitments and real-world practices. Almost all large organizations publicly tout their commitment to “diversity and inclusion,” yet far fewer explicitly mention accessibility or disability inclusion in their diversity statements or measure it in their leadership demographics. Many companies comply with basic training mandates and anti-discrimination policies, but do not embed accessibility into day-to-day processes. For instance, only about half of surveyed large organizations explicitly inform job applicants about how to request disability-related </w:t>
      </w:r>
      <w:proofErr w:type="gramStart"/>
      <w:r w:rsidRPr="00FC368E">
        <w:t>accommodations</w:t>
      </w:r>
      <w:proofErr w:type="gramEnd"/>
      <w:r w:rsidRPr="00FC368E">
        <w:t xml:space="preserve"> during recruitment. Likewise, a majority lack public information on how they support employees with disabilities or handle accessibility-related complaints. This lack of clear organizational signaling indicates that while businesses may meet legal obligations on paper, they often fail to demonstrate a culture of inclusion in practice.</w:t>
      </w:r>
    </w:p>
    <w:p w14:paraId="000C19EB" w14:textId="2CD967FF" w:rsidR="00FC368E" w:rsidRPr="00FB40E0" w:rsidRDefault="00FC368E" w:rsidP="00FC368E">
      <w:pPr>
        <w:pStyle w:val="BodyCopy"/>
      </w:pPr>
      <w:r w:rsidRPr="00FC368E">
        <w:t xml:space="preserve">Moreover, </w:t>
      </w:r>
      <w:r w:rsidRPr="0033729A">
        <w:t>accessible employment practices remain piecemeal</w:t>
      </w:r>
      <w:r w:rsidRPr="00FC368E">
        <w:t xml:space="preserve">. It is common to focus on customer-facing accessibility (such as accessible websites or products) while overlooking internal workplace inclusion (like accessible hiring, communication, or staff development). </w:t>
      </w:r>
      <w:r w:rsidRPr="00FB40E0">
        <w:t>Attitudinal barriers and stigma persist</w:t>
      </w:r>
      <w:r w:rsidR="00FB40E0">
        <w:t>,</w:t>
      </w:r>
      <w:r w:rsidRPr="00FC368E">
        <w:t xml:space="preserve"> employees may fear disclosing disabilities due to negative stereotypes, and accessibility work frequently falls to informal “champions” (often employees with disabilities themselves) instead of being everyone’s responsibility. Many managers and staff still lack confidence and knowledge about how to effectively include colleagues with disabilities beyond basic </w:t>
      </w:r>
      <w:r w:rsidR="002021AE" w:rsidRPr="00FC368E">
        <w:t>accommodation</w:t>
      </w:r>
      <w:r w:rsidRPr="00FC368E">
        <w:t xml:space="preserve">. </w:t>
      </w:r>
      <w:r w:rsidRPr="00FB40E0">
        <w:t>These insights confirm that real progress requires a cultural shift</w:t>
      </w:r>
      <w:r w:rsidR="00FB40E0" w:rsidRPr="00FB40E0">
        <w:t>,</w:t>
      </w:r>
      <w:r w:rsidRPr="00FB40E0">
        <w:t xml:space="preserve"> moving from viewing accessibility as a compliance task or the job of a </w:t>
      </w:r>
      <w:proofErr w:type="gramStart"/>
      <w:r w:rsidRPr="00FB40E0">
        <w:t>specialist,</w:t>
      </w:r>
      <w:proofErr w:type="gramEnd"/>
      <w:r w:rsidRPr="00FB40E0">
        <w:t xml:space="preserve"> to viewing it as a core competency that all leaders and employees must develop.</w:t>
      </w:r>
    </w:p>
    <w:p w14:paraId="53AD5884" w14:textId="63371E47" w:rsidR="00FB40E0" w:rsidRDefault="00FB40E0" w:rsidP="00CB40B5">
      <w:pPr>
        <w:pStyle w:val="Heading3"/>
      </w:pPr>
      <w:bookmarkStart w:id="15" w:name="_Toc243923400"/>
      <w:r>
        <w:lastRenderedPageBreak/>
        <w:t xml:space="preserve">Key </w:t>
      </w:r>
      <w:r w:rsidR="00FC368E" w:rsidRPr="00FC368E">
        <w:t>Recommendations</w:t>
      </w:r>
      <w:bookmarkEnd w:id="15"/>
    </w:p>
    <w:p w14:paraId="33E7016D" w14:textId="1F4F302C" w:rsidR="00FB40E0" w:rsidRDefault="00FC368E" w:rsidP="00FC368E">
      <w:pPr>
        <w:pStyle w:val="BodyCopy"/>
      </w:pPr>
      <w:r w:rsidRPr="00FC368E">
        <w:t>Based on the evidence gathered, this report provides clear recommendations for employers, policymakers, and other</w:t>
      </w:r>
      <w:r w:rsidR="00FB40E0">
        <w:t xml:space="preserve">s </w:t>
      </w:r>
      <w:r w:rsidRPr="00FC368E">
        <w:t xml:space="preserve">to drive change. </w:t>
      </w:r>
    </w:p>
    <w:p w14:paraId="370A5EBB" w14:textId="77777777" w:rsidR="00FB40E0" w:rsidRDefault="00FC368E" w:rsidP="00FB40E0">
      <w:pPr>
        <w:pStyle w:val="Heading4"/>
      </w:pPr>
      <w:r w:rsidRPr="00FC368E">
        <w:t>Adopt a Whole-Organization Approach</w:t>
      </w:r>
    </w:p>
    <w:p w14:paraId="38656C93" w14:textId="3C6783AA" w:rsidR="00FC368E" w:rsidRPr="00FC368E" w:rsidRDefault="00FC368E" w:rsidP="00FC368E">
      <w:pPr>
        <w:pStyle w:val="BodyCopy"/>
      </w:pPr>
      <w:r w:rsidRPr="00FB40E0">
        <w:t>Treat accessibility and inclusion as an organization-wide commitment rather than a standalone initiative. Leaders should integrate accessibility into strategic plans, budgets, and everyday decision-making. This means considering accessibility in all business processes</w:t>
      </w:r>
      <w:r w:rsidR="002021AE">
        <w:t>,</w:t>
      </w:r>
      <w:r w:rsidRPr="00FB40E0">
        <w:t xml:space="preserve"> from recruitment and onboarding to procurement, communications, and service delivery</w:t>
      </w:r>
      <w:r w:rsidR="002021AE">
        <w:t xml:space="preserve">, </w:t>
      </w:r>
      <w:r w:rsidRPr="00FB40E0">
        <w:t>so that barrier removal and universal design become standard practice</w:t>
      </w:r>
      <w:r w:rsidRPr="00FC368E">
        <w:t>.</w:t>
      </w:r>
    </w:p>
    <w:p w14:paraId="4FBE9142" w14:textId="77777777" w:rsidR="00FB40E0" w:rsidRDefault="00FC368E" w:rsidP="00FB40E0">
      <w:pPr>
        <w:pStyle w:val="Heading4"/>
      </w:pPr>
      <w:r w:rsidRPr="00FC368E">
        <w:t>Embed Accessibility in Roles and Training</w:t>
      </w:r>
    </w:p>
    <w:p w14:paraId="26030E1C" w14:textId="61F564E0" w:rsidR="00FC368E" w:rsidRPr="00FB40E0" w:rsidRDefault="00FC368E" w:rsidP="00FC368E">
      <w:pPr>
        <w:pStyle w:val="BodyCopy"/>
      </w:pPr>
      <w:r w:rsidRPr="00FB40E0">
        <w:t>Define and build accessibility competencies for every role. Use the Accessibility Competency Framework to clarify what different staff (executives, managers, frontline employees, technical teams, etc.) need to know and do to support inclusion. Provide comprehensive training and resources tailored to these roles. Emphasize practical skills</w:t>
      </w:r>
      <w:r w:rsidR="002021AE">
        <w:t>,</w:t>
      </w:r>
      <w:r w:rsidRPr="00FB40E0">
        <w:t xml:space="preserve"> for example, training managers </w:t>
      </w:r>
      <w:proofErr w:type="gramStart"/>
      <w:r w:rsidRPr="00FB40E0">
        <w:t>on</w:t>
      </w:r>
      <w:proofErr w:type="gramEnd"/>
      <w:r w:rsidRPr="00FB40E0">
        <w:t xml:space="preserve"> accessible hiring and performance management, training IT staff </w:t>
      </w:r>
      <w:proofErr w:type="gramStart"/>
      <w:r w:rsidRPr="00FB40E0">
        <w:t>on</w:t>
      </w:r>
      <w:proofErr w:type="gramEnd"/>
      <w:r w:rsidRPr="00FB40E0">
        <w:t xml:space="preserve"> digital accessibility standards, and training all employees </w:t>
      </w:r>
      <w:proofErr w:type="gramStart"/>
      <w:r w:rsidRPr="00FB40E0">
        <w:t>on</w:t>
      </w:r>
      <w:proofErr w:type="gramEnd"/>
      <w:r w:rsidRPr="00FB40E0">
        <w:t xml:space="preserve"> disability awareness and respectful communication. Importantly, ensure training is accessible to participants with disabilities and reinforced regularly (not a one-time session).</w:t>
      </w:r>
    </w:p>
    <w:p w14:paraId="7E111839" w14:textId="77777777" w:rsidR="00B733E8" w:rsidRDefault="00FC368E" w:rsidP="00FC368E">
      <w:pPr>
        <w:pStyle w:val="BodyCopy"/>
        <w:rPr>
          <w:b/>
          <w:bCs/>
        </w:rPr>
      </w:pPr>
      <w:r w:rsidRPr="00FC368E">
        <w:rPr>
          <w:b/>
          <w:bCs/>
        </w:rPr>
        <w:t>Lead from the Top and Assign Accountability</w:t>
      </w:r>
    </w:p>
    <w:p w14:paraId="5E40FF51" w14:textId="419EA447" w:rsidR="00FC368E" w:rsidRPr="00B733E8" w:rsidRDefault="00FC368E" w:rsidP="00B733E8">
      <w:pPr>
        <w:pStyle w:val="BodyCopy"/>
      </w:pPr>
      <w:r w:rsidRPr="00B733E8">
        <w:t xml:space="preserve">Secure visible commitment from senior leadership and establish clear accountability for results. Executive champions should model inclusive behaviors, allocate resources, and set expectations that accessibility is a priority. Incorporate accessibility and disability inclusion goals into performance appraisals, management objectives, and corporate scorecards. Ensure there are designated roles or committees (with </w:t>
      </w:r>
      <w:r w:rsidRPr="00B733E8">
        <w:lastRenderedPageBreak/>
        <w:t>authority and resources) responsible for driving accessibility actions and monitoring progress.</w:t>
      </w:r>
    </w:p>
    <w:p w14:paraId="7696AB5D" w14:textId="76FE8377" w:rsidR="00B733E8" w:rsidRDefault="00B733E8" w:rsidP="00B733E8">
      <w:pPr>
        <w:pStyle w:val="Heading4"/>
      </w:pPr>
      <w:r>
        <w:t>“</w:t>
      </w:r>
      <w:r w:rsidR="00FC368E" w:rsidRPr="00FC368E">
        <w:t>Nothing About Us, Without Us:</w:t>
      </w:r>
      <w:r>
        <w:t>”</w:t>
      </w:r>
      <w:r w:rsidR="00FC368E" w:rsidRPr="00FC368E">
        <w:t xml:space="preserve"> Engage People with Disabilities</w:t>
      </w:r>
    </w:p>
    <w:p w14:paraId="7E8FBAA3" w14:textId="28EF121D" w:rsidR="00FC368E" w:rsidRPr="00B733E8" w:rsidRDefault="00FC368E" w:rsidP="00B733E8">
      <w:pPr>
        <w:pStyle w:val="BodyCopy"/>
      </w:pPr>
      <w:r w:rsidRPr="00B733E8">
        <w:t xml:space="preserve">Involve employees and external experts with disabilities in the design, review, and evaluation of policies and programs. Create formal mechanisms (such as employee resource groups, advisory councils, or co-design sessions) to gather input from </w:t>
      </w:r>
      <w:proofErr w:type="gramStart"/>
      <w:r w:rsidRPr="00B733E8">
        <w:t>persons</w:t>
      </w:r>
      <w:proofErr w:type="gramEnd"/>
      <w:r w:rsidRPr="00B733E8">
        <w:t xml:space="preserve"> with disabilities. This practice not only improves the relevance and effectiveness of solutions but also demonstrates a genuine commitment to inclusion.</w:t>
      </w:r>
    </w:p>
    <w:p w14:paraId="3382AB4B" w14:textId="77777777" w:rsidR="00B733E8" w:rsidRDefault="00FC368E" w:rsidP="00B733E8">
      <w:pPr>
        <w:pStyle w:val="Heading4"/>
      </w:pPr>
      <w:r w:rsidRPr="00FC368E">
        <w:t>Increase Transparency and Communication</w:t>
      </w:r>
    </w:p>
    <w:p w14:paraId="6AF7F4DA" w14:textId="1C936966" w:rsidR="00FC368E" w:rsidRPr="00B733E8" w:rsidRDefault="00FC368E" w:rsidP="00B733E8">
      <w:pPr>
        <w:pStyle w:val="BodyCopy"/>
      </w:pPr>
      <w:r w:rsidRPr="00B733E8">
        <w:t>Publicly communicate your commitment to accessibility and report on progress. Make sure your diversity, equity, and inclusion (DEI) statements and policies explicitly mention accessibility and disability inclusion</w:t>
      </w:r>
      <w:r w:rsidR="002021AE">
        <w:t>,</w:t>
      </w:r>
      <w:r w:rsidRPr="00B733E8">
        <w:t xml:space="preserve"> not as optional add-ons, but as integral parts of your mission. Provide clear information to job candidates and employees on how to request </w:t>
      </w:r>
      <w:proofErr w:type="gramStart"/>
      <w:r w:rsidRPr="00B733E8">
        <w:t>accommodations</w:t>
      </w:r>
      <w:proofErr w:type="gramEnd"/>
      <w:r w:rsidRPr="00B733E8">
        <w:t xml:space="preserve"> and access support. Regularly solicit feedback on accessibility (e.g., through surveys or consultations) and share what improvements are being made. This transparency builds trust with employees, clients, and the community, and it holds the organization accountable for continuous improvement.</w:t>
      </w:r>
    </w:p>
    <w:p w14:paraId="45792FEE" w14:textId="77777777" w:rsidR="00FC368E" w:rsidRPr="00B733E8" w:rsidRDefault="00FC368E" w:rsidP="00B733E8">
      <w:pPr>
        <w:pStyle w:val="BodyCopy"/>
      </w:pPr>
      <w:r w:rsidRPr="00B733E8">
        <w:t xml:space="preserve">Implementing these recommendations will have wide-ranging implications for practice and policy. In the workplace, following this framework can lead to better employment outcomes for people with disabilities, higher staff engagement, and a reduced need for case-by-case accommodations as barriers are eliminated proactively. For leaders and HR practitioners, it means rethinking how performance reviews, professional development, technology adoption, and even office design incorporate accessibility considerations from the start. For policymakers and regulators, the findings highlight the need for more detailed guidance and standards on how to </w:t>
      </w:r>
      <w:r w:rsidRPr="00B733E8">
        <w:lastRenderedPageBreak/>
        <w:t>build accessibility competence (not just what to achieve). The Accessibility and Inclusion Competencies Framework could inform national and provincial standards, offering a blueprint to translate broad legislative goals into practical steps that organizations of all sizes can follow.</w:t>
      </w:r>
    </w:p>
    <w:p w14:paraId="5530841E" w14:textId="77777777" w:rsidR="00FC368E" w:rsidRPr="00FC368E" w:rsidRDefault="00FC368E" w:rsidP="00FC368E">
      <w:pPr>
        <w:pStyle w:val="BodyCopy"/>
      </w:pPr>
      <w:r w:rsidRPr="00FC368E">
        <w:rPr>
          <w:b/>
          <w:bCs/>
        </w:rPr>
        <w:t>In summary, this report calls for a shift from treating accessibility as a compliance issue to treating it as a strategic priority and a marker of organizational excellence.</w:t>
      </w:r>
      <w:r w:rsidRPr="00FC368E">
        <w:t xml:space="preserve"> By embracing the Accessibility and Inclusion Competencies Framework and the accompanying recommendations, </w:t>
      </w:r>
      <w:proofErr w:type="gramStart"/>
      <w:r w:rsidRPr="00FC368E">
        <w:t>decision-makers</w:t>
      </w:r>
      <w:proofErr w:type="gramEnd"/>
      <w:r w:rsidRPr="00FC368E">
        <w:t xml:space="preserve"> can foster workplaces where accessibility is woven into the culture – ultimately benefiting not only employees with disabilities, but all employees and customers. An accessible workplace is an innovative, flexible, and equitable workplace. The Canadian National Institute for the Blind (CNIB) and its partners present this Framework as a timely resource to guide organizations in this culture-building journey, helping to bridge the gap between policy intent and everyday practice in diverse and inclusive workplaces.</w:t>
      </w:r>
    </w:p>
    <w:p w14:paraId="05B6F071" w14:textId="6889FD3B" w:rsidR="00FC368E" w:rsidRPr="00FC368E" w:rsidRDefault="00FC368E" w:rsidP="00FC368E">
      <w:pPr>
        <w:sectPr w:rsidR="00FC368E" w:rsidRPr="00FC368E" w:rsidSect="009F7FEB">
          <w:pgSz w:w="12240" w:h="15840"/>
          <w:pgMar w:top="1728" w:right="1440" w:bottom="1080" w:left="1440" w:header="709" w:footer="317" w:gutter="0"/>
          <w:cols w:space="708"/>
          <w:docGrid w:linePitch="360"/>
        </w:sectPr>
      </w:pPr>
    </w:p>
    <w:p w14:paraId="3AF24CEB" w14:textId="180AEC29" w:rsidR="002021AE" w:rsidRPr="002021AE" w:rsidRDefault="007236A0" w:rsidP="002021AE">
      <w:pPr>
        <w:pStyle w:val="Heading2"/>
      </w:pPr>
      <w:bookmarkStart w:id="16" w:name="_Toc243923401"/>
      <w:r>
        <w:lastRenderedPageBreak/>
        <w:t xml:space="preserve">Chapter 2. </w:t>
      </w:r>
      <w:r w:rsidR="00066CBC">
        <w:t xml:space="preserve">Literature </w:t>
      </w:r>
      <w:r w:rsidR="000A13D2">
        <w:t>R</w:t>
      </w:r>
      <w:r w:rsidR="00066CBC">
        <w:t>eview</w:t>
      </w:r>
      <w:r w:rsidR="008639A5">
        <w:t xml:space="preserve"> and </w:t>
      </w:r>
      <w:r w:rsidR="000A13D2">
        <w:t>E</w:t>
      </w:r>
      <w:r w:rsidR="008639A5">
        <w:t xml:space="preserve">nvironmental </w:t>
      </w:r>
      <w:r w:rsidR="000A13D2">
        <w:t>S</w:t>
      </w:r>
      <w:r w:rsidR="008639A5">
        <w:t>can</w:t>
      </w:r>
      <w:bookmarkEnd w:id="16"/>
    </w:p>
    <w:p w14:paraId="6137D34C" w14:textId="577F7265" w:rsidR="00837FE9" w:rsidRDefault="008639A5" w:rsidP="00CB40B5">
      <w:pPr>
        <w:pStyle w:val="Heading3"/>
      </w:pPr>
      <w:bookmarkStart w:id="17" w:name="_Toc243923402"/>
      <w:r>
        <w:t>Literature review</w:t>
      </w:r>
      <w:bookmarkEnd w:id="17"/>
    </w:p>
    <w:p w14:paraId="5E0E6E30" w14:textId="60F513BD" w:rsidR="001F6174" w:rsidRPr="007C153F" w:rsidRDefault="00B9127B" w:rsidP="007C153F">
      <w:pPr>
        <w:pStyle w:val="BodyCopy"/>
      </w:pPr>
      <w:r w:rsidRPr="00B9127B">
        <w:t xml:space="preserve">This literature review synthesizes existing research and evidence to understand why organizations continue to struggle with </w:t>
      </w:r>
      <w:r w:rsidRPr="006C2599">
        <w:t>practicable workplace accessibility and inclusion competencies, ev</w:t>
      </w:r>
      <w:r w:rsidRPr="00B9127B">
        <w:t xml:space="preserve">en when legal requirements and public commitments are in place. We focus on </w:t>
      </w:r>
      <w:r w:rsidRPr="006C2599">
        <w:t>“accessibility competenc</w:t>
      </w:r>
      <w:r w:rsidR="006C2599" w:rsidRPr="006C2599">
        <w:t>y</w:t>
      </w:r>
      <w:r w:rsidRPr="006C2599">
        <w:t>”</w:t>
      </w:r>
      <w:r w:rsidRPr="00B9127B">
        <w:t xml:space="preserve"> as the combination of knowledge, skills, behaviors, and organizational practices that enable an accessible and inclusive work environment for people with disabilities. Rather than examining disability issues in the abstract, this review emphasizes practical implications for workplaces: what do employers and employees need to know and do differently to move beyond basic compliance and achieve genuine inclusion? It addresses evidence on strategies for training and developing accessibility competencies, highlights gaps in current knowledge, and identifies where further research or action is needed to support organizations. The findings from this inform</w:t>
      </w:r>
      <w:r w:rsidR="007C153F">
        <w:t>ed</w:t>
      </w:r>
      <w:r w:rsidRPr="00B9127B">
        <w:t xml:space="preserve"> the development of </w:t>
      </w:r>
      <w:r w:rsidR="007C153F">
        <w:t>the development of the</w:t>
      </w:r>
      <w:r w:rsidRPr="00B9127B">
        <w:t xml:space="preserve"> Accessibility Competency Framework and guide the subsequent environmental scan, primary research, and recommendations.</w:t>
      </w:r>
    </w:p>
    <w:p w14:paraId="01F85F84" w14:textId="77777777" w:rsidR="001F6174" w:rsidRDefault="00B9127B" w:rsidP="00605DAB">
      <w:pPr>
        <w:pStyle w:val="Heading4"/>
      </w:pPr>
      <w:r w:rsidRPr="00B9127B">
        <w:t>Partnership context and research contributions</w:t>
      </w:r>
    </w:p>
    <w:p w14:paraId="72B7D479" w14:textId="2923DA38" w:rsidR="0022293D" w:rsidRPr="007C2F35" w:rsidRDefault="00B9127B" w:rsidP="007C2F35">
      <w:pPr>
        <w:pStyle w:val="BodyCopy"/>
      </w:pPr>
      <w:r w:rsidRPr="00B9127B">
        <w:t xml:space="preserve">This literature review and an accompanying environmental scan were completed through a formal research partnership </w:t>
      </w:r>
      <w:r w:rsidR="00712E6C">
        <w:t xml:space="preserve">between CNIB </w:t>
      </w:r>
      <w:r w:rsidRPr="00B9127B">
        <w:t>and the Business + Higher Education Roundtable (BHER). CNIB engaged BHER to undertake Phase 1 research for the project “Building an Evidence</w:t>
      </w:r>
      <w:r w:rsidRPr="00B9127B">
        <w:noBreakHyphen/>
        <w:t>Based Universal Design Framework for Accessibility Competence Standards in Canada”</w:t>
      </w:r>
      <w:r w:rsidR="007C2F35">
        <w:t xml:space="preserve"> to perform a literature review and environmental scan.</w:t>
      </w:r>
      <w:r w:rsidRPr="00B9127B">
        <w:t xml:space="preserve"> To </w:t>
      </w:r>
      <w:r w:rsidRPr="00B9127B">
        <w:lastRenderedPageBreak/>
        <w:t>strengthen research capacity, CNIB also engaged student support through the University of Toronto Mississauga (UTM) Sociology, Criminology, Law and Society Internship (SOC480Y5), a 200</w:t>
      </w:r>
      <w:r w:rsidRPr="00B9127B">
        <w:noBreakHyphen/>
        <w:t xml:space="preserve">hour applied research placement. Under this arrangement, </w:t>
      </w:r>
      <w:r w:rsidRPr="007C2F35">
        <w:t>Katerina Koudinov, a</w:t>
      </w:r>
      <w:r w:rsidRPr="00B9127B">
        <w:t xml:space="preserve"> SOC480Y5 intern, contributed significantly to the research through a structured literature review, thematic analysis, and an inventory of accessibility training offerings in Canada. In parallel, </w:t>
      </w:r>
      <w:r w:rsidRPr="007C2F35">
        <w:t xml:space="preserve">BHER’s </w:t>
      </w:r>
      <w:r w:rsidRPr="00B9127B">
        <w:t xml:space="preserve">research team conducted a comprehensive literature review, legislative review, and environmental scan as part of its Phase 1 deliverables. The final literature review presented here integrates </w:t>
      </w:r>
      <w:proofErr w:type="gramStart"/>
      <w:r w:rsidRPr="00B9127B">
        <w:t>both of these</w:t>
      </w:r>
      <w:proofErr w:type="gramEnd"/>
      <w:r w:rsidRPr="00B9127B">
        <w:t xml:space="preserve"> contributions into one cohesive narrative, with appropriate acknowledgment of each source.</w:t>
      </w:r>
    </w:p>
    <w:p w14:paraId="3B33ED22" w14:textId="77777777" w:rsidR="007C2F35" w:rsidRDefault="00B9127B" w:rsidP="00605DAB">
      <w:pPr>
        <w:pStyle w:val="Heading4"/>
      </w:pPr>
      <w:r w:rsidRPr="00B9127B">
        <w:t>Foundational concepts: disability, accessibility, and accommodation</w:t>
      </w:r>
    </w:p>
    <w:p w14:paraId="6B8A4FCB" w14:textId="48ABCAD6" w:rsidR="00B9127B" w:rsidRPr="00B9127B" w:rsidRDefault="00B9127B" w:rsidP="007C2F35">
      <w:pPr>
        <w:pStyle w:val="BodyCopy"/>
      </w:pPr>
      <w:r w:rsidRPr="00B9127B">
        <w:t xml:space="preserve">Across the source material, a consistent theme is </w:t>
      </w:r>
      <w:r w:rsidRPr="007C2F35">
        <w:t>that disability is created at the intersection of individuals and environments, rather</w:t>
      </w:r>
      <w:r w:rsidRPr="00B9127B">
        <w:t xml:space="preserve"> than being solely a personal attribute. This reflects the social model of disability and the principles of the United Nations Convention on the Rights of Persons with Disabilities, which define disability in terms of the interaction between persons and barriers in society (Stein, 2014). In practice, this means an organization’s culture, policies, physical and digital infrastructure, and everyday practices can enable or disable employees. The literature further distinguishes </w:t>
      </w:r>
      <w:r w:rsidRPr="00482806">
        <w:t xml:space="preserve">“accessibility” from “accommodation.” </w:t>
      </w:r>
      <w:r w:rsidRPr="00B9127B">
        <w:t>Accessibility refers to proactively designing environments, systems, and processes so that they can be used by the widest range of people without special adaptation (International Standard Organization, 2021). In contrast, accommodations are reactive measures</w:t>
      </w:r>
      <w:r w:rsidR="00482806">
        <w:t xml:space="preserve">; </w:t>
      </w:r>
      <w:r w:rsidRPr="00B9127B">
        <w:t xml:space="preserve">adjustments or supports provided for an individual to overcome a specific barrier (International Standard Organization, 2021). While accommodations (such as adaptive equipment, modified schedules, or policy exceptions) are essential, they are by definition </w:t>
      </w:r>
      <w:r w:rsidRPr="00B9127B">
        <w:rPr>
          <w:i/>
          <w:iCs/>
        </w:rPr>
        <w:t>ad hoc</w:t>
      </w:r>
      <w:r w:rsidRPr="00B9127B">
        <w:t xml:space="preserve"> and often must clear a “reasonableness” or undue hardship threshold for employers (Konrad et al., 2013). In other words, an organization might meet its legal </w:t>
      </w:r>
      <w:r w:rsidRPr="00B9127B">
        <w:lastRenderedPageBreak/>
        <w:t xml:space="preserve">duty by accommodating a particular employee’s needs, but still not have an </w:t>
      </w:r>
      <w:r w:rsidRPr="00482806">
        <w:t>accessible workplace</w:t>
      </w:r>
      <w:r w:rsidRPr="00B9127B">
        <w:t xml:space="preserve"> in any broader sense. The literature underscores that a workplace focused only on individual </w:t>
      </w:r>
      <w:proofErr w:type="gramStart"/>
      <w:r w:rsidRPr="00B9127B">
        <w:t>accommodations</w:t>
      </w:r>
      <w:proofErr w:type="gramEnd"/>
      <w:r w:rsidRPr="00B9127B">
        <w:t xml:space="preserve">, rather than systemic accessibility, tends to remain in reactive mode and may leave underlying barriers in place (Lindsay et al., 2019; Konrad et al., 2013). Truly accessible organizations take a more universal design approach, integrating accessibility considerations </w:t>
      </w:r>
      <w:r w:rsidRPr="00482806">
        <w:t>before</w:t>
      </w:r>
      <w:r w:rsidRPr="00B9127B">
        <w:t xml:space="preserve"> barriers occur.</w:t>
      </w:r>
    </w:p>
    <w:p w14:paraId="5F50E1AE" w14:textId="77777777" w:rsidR="00482806" w:rsidRDefault="00B9127B" w:rsidP="00605DAB">
      <w:pPr>
        <w:pStyle w:val="Heading4"/>
      </w:pPr>
      <w:r w:rsidRPr="00B9127B">
        <w:t>Variability in organizational focus and terminology</w:t>
      </w:r>
    </w:p>
    <w:p w14:paraId="34241283" w14:textId="3BE0FAB6" w:rsidR="00B9127B" w:rsidRPr="00B9127B" w:rsidRDefault="00B9127B" w:rsidP="00BF1AB7">
      <w:pPr>
        <w:pStyle w:val="BodyCopy"/>
      </w:pPr>
      <w:r w:rsidRPr="00B9127B">
        <w:t>A challenge highlighted in the Canadian literature is the inconsistent use of diversity and inclusion terminology, which affects whether and how organizations address disability. Depending on what acronym or framework an organization adopts</w:t>
      </w:r>
      <w:r w:rsidR="00821A9A">
        <w:t>,</w:t>
      </w:r>
      <w:r w:rsidRPr="00B9127B">
        <w:t xml:space="preserve"> for example, </w:t>
      </w:r>
      <w:r w:rsidRPr="00821A9A">
        <w:t>“D&amp;I” (Diversity and Inclusion) versus “EDI” (Equity, Diversity, and Inclusion) or “DEI&amp;A” (Diversity, Equity, Inclusion, and Accessibility)</w:t>
      </w:r>
      <w:r w:rsidR="00821A9A">
        <w:t xml:space="preserve">, </w:t>
      </w:r>
      <w:r w:rsidRPr="00B9127B">
        <w:t xml:space="preserve">certain concepts may be left implicit. If an organization’s inclusion efforts are framed only around diversity and inclusion without explicit mention of accessibility or equity, important dimensions of disability inclusion can be overlooked (International Standard Organization, 2021). For instance, a workplace can promote a welcoming </w:t>
      </w:r>
      <w:r w:rsidRPr="00B9127B">
        <w:rPr>
          <w:i/>
          <w:iCs/>
        </w:rPr>
        <w:t>culture</w:t>
      </w:r>
      <w:r w:rsidRPr="00B9127B">
        <w:t xml:space="preserve"> in general terms and still lack the specific policies and practices to ensure </w:t>
      </w:r>
      <w:r w:rsidRPr="00B9127B">
        <w:rPr>
          <w:i/>
          <w:iCs/>
        </w:rPr>
        <w:t>access</w:t>
      </w:r>
      <w:r w:rsidRPr="00B9127B">
        <w:t xml:space="preserve"> for employees with disabilities. Koudinov’s review of emerging Canadian standards noted that accessibility and inclusion are related but not interchangeable goals. “Inclusive” language in corporate diversity statements does not automatically guarantee that a workplace’s IT systems, communications, or built environments are accessible (i.e., barrier-free) to employees with disabilities. In fact, one analysis found that many organizations’ </w:t>
      </w:r>
      <w:r w:rsidR="00E97022" w:rsidRPr="00E97022">
        <w:t>“</w:t>
      </w:r>
      <w:r w:rsidRPr="00E97022">
        <w:t>accessibility plans and policies are written in broad, aspirational terms,</w:t>
      </w:r>
      <w:r w:rsidR="00E97022">
        <w:t>”</w:t>
      </w:r>
      <w:r w:rsidRPr="00E97022">
        <w:t xml:space="preserve"> making it difficult for managers to know how to “identify, prevent, and remove barriers”</w:t>
      </w:r>
      <w:r w:rsidRPr="00B9127B">
        <w:t xml:space="preserve"> in practice. Vague or high-level commitments allow room for symbolic compliance (e.g. diversity slogans and basic anti-discrimination policies) without the detailed guidance that would drive operational changes (Dragicevic &amp; Thirgood, 2023). The literature suggests </w:t>
      </w:r>
      <w:r w:rsidRPr="00B9127B">
        <w:lastRenderedPageBreak/>
        <w:t xml:space="preserve">that organizations benefit from establishing clear definitions and concrete targets for accessibility. In short, clarity of language and intent matters: when accessibility and disability are explicitly named and defined, it sets the stage for more actionable strategies. </w:t>
      </w:r>
    </w:p>
    <w:p w14:paraId="4E89BEB3" w14:textId="77777777" w:rsidR="00E97022" w:rsidRPr="00605DAB" w:rsidRDefault="00B9127B" w:rsidP="00605DAB">
      <w:pPr>
        <w:pStyle w:val="Heading4"/>
      </w:pPr>
      <w:bookmarkStart w:id="18" w:name="_Toc243923403"/>
      <w:r w:rsidRPr="00605DAB">
        <w:rPr>
          <w:rStyle w:val="Heading3Char"/>
          <w:b/>
          <w:bCs/>
          <w:sz w:val="30"/>
          <w:szCs w:val="30"/>
        </w:rPr>
        <w:t>Persistent gaps between policy and practice</w:t>
      </w:r>
      <w:bookmarkEnd w:id="18"/>
    </w:p>
    <w:p w14:paraId="66E6F77D" w14:textId="1824958B" w:rsidR="00B9127B" w:rsidRPr="00E97022" w:rsidRDefault="00B9127B" w:rsidP="00E97022">
      <w:pPr>
        <w:pStyle w:val="BodyCopy"/>
      </w:pPr>
      <w:r w:rsidRPr="00E97022">
        <w:t>Even where strong legislation and policies exist, studies indicate a recurring gap between formal requirements and actual workplace practices. Both Katerina’s and BHER’s reviews point out that many organizations remain stuck in a compliance mindset rather than achieving true competence in accessibility. Key barriers contributing to this gap include:</w:t>
      </w:r>
    </w:p>
    <w:p w14:paraId="17876A25" w14:textId="77777777" w:rsidR="00E97022" w:rsidRDefault="00B9127B" w:rsidP="0050654E">
      <w:pPr>
        <w:pStyle w:val="Heading5"/>
      </w:pPr>
      <w:r w:rsidRPr="00B9127B">
        <w:t>Broad mandates and vague guidance in laws and standards</w:t>
      </w:r>
    </w:p>
    <w:p w14:paraId="45B176B0" w14:textId="290B9DB6" w:rsidR="00B9127B" w:rsidRPr="00B9127B" w:rsidRDefault="00B9127B" w:rsidP="00E97022">
      <w:pPr>
        <w:pStyle w:val="BodyCopy"/>
      </w:pPr>
      <w:r w:rsidRPr="00B9127B">
        <w:t xml:space="preserve">Accessibility laws often impose obligations (e.g. to provide training or accommodations) without specifying </w:t>
      </w:r>
      <w:r w:rsidR="00374D3F">
        <w:t>“</w:t>
      </w:r>
      <w:r w:rsidRPr="00374D3F">
        <w:t>how</w:t>
      </w:r>
      <w:r w:rsidR="00374D3F">
        <w:t>”</w:t>
      </w:r>
      <w:r w:rsidRPr="00B9127B">
        <w:t xml:space="preserve"> to do so effectively. In both the United States and Canada, disability laws have historically emphasized civil rights and non-discrimination but offer limited direction on implementation. For instance, the Americans with Disabilities Act (ADA) prohibits discrimination and requires reasonable </w:t>
      </w:r>
      <w:r w:rsidR="00374D3F" w:rsidRPr="00B9127B">
        <w:t>accommodations yet</w:t>
      </w:r>
      <w:r w:rsidRPr="00B9127B">
        <w:t xml:space="preserve"> does not detail what effective training or organizational practices look like (Americans with Disabilities Act, 1990). Similarly, Canada’s Accessible Canada Act (2019) provides a framework for identifying and removing barriers but leaves much of the specifics to future regulations and standards. The result is that employers may be unsure what “accessibility training” should entail (Blackett, 2023). Researchers have noted that, even decades after the ADA’s passage, the long-term impacts on workplace inclusion are difficult to measure due to fragmented data and inconsistent evaluation methods (Harris et al., 2014; Tompa et al., 2015). In Canada, systematic study of outcomes is even more scarce, in part because federal accessibility legislation (the Accessible Canada Act) is relatively recent (2019) compared to the U.S. (Kovacs Burns &amp; Gordon, 2010). Provincial laws such as the Accessibility for Ontarians with Disabilities Act (2005) have </w:t>
      </w:r>
      <w:r w:rsidRPr="00B9127B">
        <w:lastRenderedPageBreak/>
        <w:t xml:space="preserve">been in place longer, but literature on their workplace impact is limited—most research related to the AODA has focused on educational settings rather than employment (Kovacs Burns &amp; Gordon, 2010). Both Katerina’s and BHER’s surveys of the field found very few empirically validated models of training or competency development, indicating that current practices have evolved more from consensus and advocacy than from research evidence (Phillips et al., 2016). In short, the rules tell employers </w:t>
      </w:r>
      <w:r w:rsidR="000F1842">
        <w:t>“</w:t>
      </w:r>
      <w:r w:rsidRPr="000F1842">
        <w:t>what</w:t>
      </w:r>
      <w:r w:rsidR="000F1842">
        <w:rPr>
          <w:i/>
          <w:iCs/>
        </w:rPr>
        <w:t>”</w:t>
      </w:r>
      <w:r w:rsidRPr="00B9127B">
        <w:t xml:space="preserve"> outcome is expected (e.g. accessible services, barrier-free employment) but not </w:t>
      </w:r>
      <w:r w:rsidRPr="00B9127B">
        <w:rPr>
          <w:i/>
          <w:iCs/>
        </w:rPr>
        <w:t>how</w:t>
      </w:r>
      <w:r w:rsidRPr="00B9127B">
        <w:t xml:space="preserve"> to get there, and the research community has not yet filled this gap.</w:t>
      </w:r>
    </w:p>
    <w:p w14:paraId="416C3EF7" w14:textId="77777777" w:rsidR="000F1842" w:rsidRDefault="00B9127B" w:rsidP="0050654E">
      <w:pPr>
        <w:pStyle w:val="Heading5"/>
      </w:pPr>
      <w:r w:rsidRPr="00B9127B">
        <w:t>Lack of enforcement and accountability for outcomes</w:t>
      </w:r>
    </w:p>
    <w:p w14:paraId="44231694" w14:textId="51B8A2D1" w:rsidR="00B9127B" w:rsidRPr="00B9127B" w:rsidRDefault="00B9127B" w:rsidP="00E97022">
      <w:pPr>
        <w:pStyle w:val="BodyCopy"/>
      </w:pPr>
      <w:r w:rsidRPr="00B9127B">
        <w:t xml:space="preserve">The existence of legislation does not guarantee change if monitoring and enforcement are weak. Ontario’s AODA, for example, was described in its 2019 five-year review as a </w:t>
      </w:r>
      <w:r w:rsidRPr="00B9127B">
        <w:rPr>
          <w:i/>
          <w:iCs/>
        </w:rPr>
        <w:t>“</w:t>
      </w:r>
      <w:r w:rsidRPr="000F1842">
        <w:t>toothless tiger</w:t>
      </w:r>
      <w:r w:rsidR="000F1842">
        <w:t>,</w:t>
      </w:r>
      <w:r w:rsidRPr="00B9127B">
        <w:rPr>
          <w:i/>
          <w:iCs/>
        </w:rPr>
        <w:t>”</w:t>
      </w:r>
      <w:r w:rsidRPr="00B9127B">
        <w:t xml:space="preserve"> noting that more than half of obligated organizations had failed to file mandatory compliance reports or train staff, with minimal consequences from regulators (Onley, 2019). Scholars have observed a general reluctance by authorities to enforce disability employment laws with meaningful penalties or oversight, leading to “foot-dragging” by organizations (Dragicevic &amp; Thirgood, 2023). The result is that many employers formally comply with basic reporting requirements while making few substantive changes. In the federal sector, Canada’s Employment Equity Act (which has included people with disabilities as a designated group since the 1980s) has also been criticized for weak enforcement and modest results for workers with disabilities. Thirty years after the landmark </w:t>
      </w:r>
      <w:r w:rsidRPr="00EC21FC">
        <w:t>Abella Report</w:t>
      </w:r>
      <w:r w:rsidRPr="00B9127B">
        <w:t xml:space="preserve"> proposed employment equity, people with disabilities remain underrepresented and concentrated in insecure, entry-level jobs, even as women and racialized groups have made greater gains under the same legislation (Rioux &amp; Patton, 2014). Strengthening organizational accountability is therefore repeatedly cited as necessary for closing the gap between policy and practice. This may include more robust compliance audits (with public reporting of results), </w:t>
      </w:r>
      <w:r w:rsidRPr="00B9127B">
        <w:lastRenderedPageBreak/>
        <w:t>clearer assignment of responsibilities within organizations, and incorporating accessibility performance into senior management evaluations (Onley, 2019; Blackett, 2023).</w:t>
      </w:r>
    </w:p>
    <w:p w14:paraId="09AE9527" w14:textId="77777777" w:rsidR="005A341A" w:rsidRDefault="00B9127B" w:rsidP="0050654E">
      <w:pPr>
        <w:pStyle w:val="Heading5"/>
      </w:pPr>
      <w:r w:rsidRPr="00B9127B">
        <w:t>Organizational culture, stigma, and disclosure issues</w:t>
      </w:r>
    </w:p>
    <w:p w14:paraId="1126010A" w14:textId="31EB6BD3" w:rsidR="00B9127B" w:rsidRPr="00B9127B" w:rsidRDefault="00B9127B" w:rsidP="00E97022">
      <w:pPr>
        <w:pStyle w:val="BodyCopy"/>
      </w:pPr>
      <w:r w:rsidRPr="00B9127B">
        <w:t>A less tangible but critical barrier to developing accessibility competence is the persistence of attitudinal barriers and stigma around disability in the workplace. Fear of negative reactions or career consequences often discourages employees from disclosing disabilities or requesting accommodations, even when support is needed (Lindsay et al., 2019; Abney et al., 2022). Many employers underestimate the prevalence of non-visible disabilities among their workforce and may mistakenly believe that the absence of formal accommodation requests means that needs are being met (Abney et al., 2022). Research has found that co-workers and supervisors sometimes continue to hold assumptions that employees with disabilities will be less productive or more costly, despite evidence to the contrary (Bruyère et al., 1998; Dragicevic &amp; Thirgood, 2023). Changing these attitudes is challenging</w:t>
      </w:r>
      <w:r w:rsidR="005A341A">
        <w:t xml:space="preserve">, </w:t>
      </w:r>
      <w:r w:rsidRPr="00B9127B">
        <w:t xml:space="preserve">one study noted that supervisors found it difficult to address negative coworker biases even after disability awareness training (Bruyère et al., 2000). Stigma can also manifest in over-reliance on individual employees with disabilities to volunteer expertise: Katerina’s review included accounts of staff with disabilities feeling they were expected to provide unofficial accessibility advice or support in addition to their regular jobs, essentially acting as “informal accessibility champions” without acknowledgment or compensation. Such practices can lead to burnout and resentment, and they allow other staff and leaders to remain uninvolved. The literature emphasizes </w:t>
      </w:r>
      <w:r w:rsidRPr="005A341A">
        <w:t>that full inclusion must be a shared responsibility</w:t>
      </w:r>
      <w:r w:rsidRPr="00B9127B">
        <w:t xml:space="preserve">. As one international standard states, </w:t>
      </w:r>
      <w:r w:rsidRPr="005A341A">
        <w:t>“everyone in the organization has a role and responsibility in the realization of inclusion principles…and in establishing and maintaining an inclusive culture at work</w:t>
      </w:r>
      <w:r w:rsidRPr="00B9127B">
        <w:rPr>
          <w:i/>
          <w:iCs/>
        </w:rPr>
        <w:t>”</w:t>
      </w:r>
      <w:r w:rsidRPr="00B9127B">
        <w:t xml:space="preserve"> (International Standard Organization, 2021). Building an accessible workplace requires moving beyond HR or disability specialists carrying the </w:t>
      </w:r>
      <w:r w:rsidRPr="00B9127B">
        <w:lastRenderedPageBreak/>
        <w:t>entire load. It calls for engaging all employees – from top leadership to front-line staff – in recognizing and removing barriers, learning inclusive practices, and valuing the expertise of people with lived experience of disability (International Standard Organization, 2021).</w:t>
      </w:r>
    </w:p>
    <w:p w14:paraId="2128B176" w14:textId="5023A9EA" w:rsidR="005A341A" w:rsidRDefault="00B9127B" w:rsidP="0050654E">
      <w:pPr>
        <w:pStyle w:val="Heading5"/>
      </w:pPr>
      <w:r w:rsidRPr="00B9127B">
        <w:t>Ambiguity in responsibility and process</w:t>
      </w:r>
    </w:p>
    <w:p w14:paraId="7A0284DE" w14:textId="39263A9D" w:rsidR="00B9127B" w:rsidRPr="005A341A" w:rsidRDefault="00B9127B" w:rsidP="005A341A">
      <w:pPr>
        <w:pStyle w:val="BodyCopy"/>
      </w:pPr>
      <w:r w:rsidRPr="005A341A">
        <w:t xml:space="preserve">Both reviews observe that many organizations have not clearly assigned or internalized who is responsible for accessibility outcomes. Compliance duties often fall to Human Resources or a </w:t>
      </w:r>
      <w:r w:rsidR="005A341A" w:rsidRPr="005A341A">
        <w:t>small, designated</w:t>
      </w:r>
      <w:r w:rsidRPr="005A341A">
        <w:t xml:space="preserve"> accessibility office, rather than being built into the roles of managers, IT professionals, facilities planners, and other staff who make daily decisions that affect accessibility (Bruyère et al., 2000). In practice, this can mean, for example, that a hiring manager may never receive training on accessible recruitment, assuming HR will “take care of” any disability issues, or an IT team might treat accessibility as solely a compliance checklist handled by an outside consultant. This siloing of responsibility leads to uneven implementation. Case studies in Canadian workplaces have noted that supervisors often feel unprepared to arrange accommodations and must rely on personal judgment or past experience in the absence of formal guidance (Williams-Whitt et al., 2016). One consequence is that accessibility may be handled informally (e.g., a few conscientious individuals try to solve issues as they arise) but not systematically. Both the literature and emerging standards recommend clarifying roles and processes for accessibility. Without this clarity, accessibility efforts tend to depend on individual initiative rather than organizational systems.</w:t>
      </w:r>
    </w:p>
    <w:p w14:paraId="45353688" w14:textId="7218E058" w:rsidR="00557DF6" w:rsidRDefault="00B9127B" w:rsidP="00D05031">
      <w:pPr>
        <w:pStyle w:val="Heading4"/>
      </w:pPr>
      <w:r w:rsidRPr="00B9127B">
        <w:t>Framing accessibility across the employment life cycle</w:t>
      </w:r>
    </w:p>
    <w:p w14:paraId="498E1038" w14:textId="534535B4" w:rsidR="00557DF6" w:rsidRPr="00B9127B" w:rsidRDefault="00B9127B" w:rsidP="00557DF6">
      <w:pPr>
        <w:pStyle w:val="BodyCopy"/>
      </w:pPr>
      <w:r w:rsidRPr="00B9127B">
        <w:t xml:space="preserve">A practical insight from the Canadian review is to consider </w:t>
      </w:r>
      <w:r w:rsidR="00557DF6">
        <w:t>“</w:t>
      </w:r>
      <w:r w:rsidRPr="00557DF6">
        <w:t>when and where</w:t>
      </w:r>
      <w:r w:rsidR="00557DF6">
        <w:rPr>
          <w:i/>
          <w:iCs/>
        </w:rPr>
        <w:t>”</w:t>
      </w:r>
      <w:r w:rsidRPr="00B9127B">
        <w:t xml:space="preserve"> accessibility competence is needed throughout </w:t>
      </w:r>
      <w:r w:rsidRPr="00557DF6">
        <w:t>the employment life cycle.</w:t>
      </w:r>
      <w:r w:rsidRPr="00B9127B">
        <w:t xml:space="preserve"> Workplaces create barriers or supports at every stage of an employee’s journey: recruitment, hiring, onboarding, day-to-day work, training and development, performance management, advancement, and </w:t>
      </w:r>
      <w:r w:rsidRPr="00B9127B">
        <w:lastRenderedPageBreak/>
        <w:t xml:space="preserve">even </w:t>
      </w:r>
      <w:r w:rsidR="00557DF6" w:rsidRPr="00B9127B">
        <w:t>off boarding</w:t>
      </w:r>
      <w:r w:rsidRPr="00B9127B">
        <w:t xml:space="preserve">. For instance, if recruitment processes do not actively reach candidates with disabilities or if job postings are not in accessible formats, organizations miss out on talent at the outset. If new hires with disabilities do join but encounter poorly coordinated onboarding (e.g. technology that is not set up for assistive devices on day one), their ability to succeed is undermined. If performance review processes do not account for needed accommodations (for example, evaluating an employee before their adaptive equipment is in place), employees with disabilities may be judged unfairly. The </w:t>
      </w:r>
      <w:r w:rsidRPr="00557DF6">
        <w:t>National Standard of Canada for Work Disability</w:t>
      </w:r>
      <w:r w:rsidRPr="00B9127B">
        <w:t xml:space="preserve"> (2024) highlights such failure points and calls for employers to embed accessibility into each phase</w:t>
      </w:r>
      <w:r w:rsidR="00ED294C">
        <w:t xml:space="preserve">, </w:t>
      </w:r>
      <w:r w:rsidRPr="00B9127B">
        <w:t xml:space="preserve">from advertising jobs with clear accommodation statements, to ensuring accommodations are in place </w:t>
      </w:r>
      <w:r w:rsidRPr="00B9127B">
        <w:rPr>
          <w:i/>
          <w:iCs/>
        </w:rPr>
        <w:t>before</w:t>
      </w:r>
      <w:r w:rsidRPr="00B9127B">
        <w:t xml:space="preserve"> evaluating new employees, to using “an intersectional accessibility lens” when considering promotions and career development. In effect, developing accessibility competence means </w:t>
      </w:r>
      <w:r w:rsidRPr="00ED294C">
        <w:t>that all facets of HR management and daily operations should integrate accessibility considerations</w:t>
      </w:r>
      <w:r w:rsidRPr="00B9127B">
        <w:t>. This includes technology choices, communication methods, workplace design, team culture, and leadership practices. If accessibility is treated only as a matter of compliance training or an HR policy, it will not permeate these other functions. But if it is approached as an ongoing, cross-functional commitment, it can reduce the need for case-by-case fixes</w:t>
      </w:r>
      <w:r w:rsidR="00557DF6">
        <w:t>.</w:t>
      </w:r>
    </w:p>
    <w:p w14:paraId="79DE5341" w14:textId="63D2C61C" w:rsidR="00B9127B" w:rsidRPr="00B9127B" w:rsidRDefault="00B9127B" w:rsidP="00557DF6">
      <w:pPr>
        <w:pStyle w:val="BodyCopy"/>
      </w:pPr>
      <w:r w:rsidRPr="00B9127B">
        <w:t xml:space="preserve">The literature also finds that when organizations adopt </w:t>
      </w:r>
      <w:r w:rsidRPr="00ED294C">
        <w:t>universal design</w:t>
      </w:r>
      <w:r w:rsidRPr="00B9127B">
        <w:t xml:space="preserve"> or design-for-all principles in their processes (rather than focusing solely on individual accommodations), it can reduce barriers from the start and normalize accessibility as part of quality and innovation. Universal design approaches encourage planners to anticipate a range of human needs in advance</w:t>
      </w:r>
      <w:r w:rsidR="009028DB">
        <w:t xml:space="preserve">, </w:t>
      </w:r>
      <w:r w:rsidRPr="00B9127B">
        <w:t>whether in information technology, workspace layout, or job design</w:t>
      </w:r>
      <w:r w:rsidR="009028DB">
        <w:t>,</w:t>
      </w:r>
      <w:r w:rsidRPr="00B9127B">
        <w:t xml:space="preserve"> rather than viewing disability as an exception (Sheppard-Jones et al., 2021). This proactive mindset can lessen the administrative burden of retrofitting or special-case accommodations and help shift attitudes: </w:t>
      </w:r>
      <w:r w:rsidRPr="00B9127B">
        <w:lastRenderedPageBreak/>
        <w:t xml:space="preserve">accessibility is no longer “special treatment” but simply good design and management practice (Doussard et al., 2024). However, implementing universal design effectively often requires organizational learning and expertise, which is where an accessibility competency framework can provide structure (Coverdale, Lewthwaite, &amp; Horton, 2024). The crucial point is that </w:t>
      </w:r>
      <w:r w:rsidRPr="009028DB">
        <w:t>accessibility competence is not limited to disability specialists, but needs to be distributed across many roles</w:t>
      </w:r>
      <w:r w:rsidRPr="00B9127B">
        <w:t xml:space="preserve"> (e.g. recruiters, procurement officers, IT developers, facilities staff, managers) with appropriate expectations and training for each (International Standard Organization, 2021; Mullin et al., 2021).</w:t>
      </w:r>
    </w:p>
    <w:p w14:paraId="7BCC74C2" w14:textId="77777777" w:rsidR="00E51188" w:rsidRDefault="00B9127B" w:rsidP="00E51188">
      <w:pPr>
        <w:pStyle w:val="Heading4"/>
      </w:pPr>
      <w:r w:rsidRPr="00B9127B">
        <w:t>Workplace training and education: what works and what is missing</w:t>
      </w:r>
    </w:p>
    <w:p w14:paraId="48E45AA9" w14:textId="60580353" w:rsidR="002710A0" w:rsidRDefault="00B9127B" w:rsidP="00E51188">
      <w:pPr>
        <w:pStyle w:val="BodyCopy"/>
      </w:pPr>
      <w:r w:rsidRPr="00B9127B">
        <w:t xml:space="preserve">Both the U.S. and Canadian policy landscapes assume that </w:t>
      </w:r>
      <w:r w:rsidRPr="00E51188">
        <w:t xml:space="preserve">training is a key strategy to improve workplace </w:t>
      </w:r>
      <w:r w:rsidRPr="00B9127B">
        <w:t>disability inclusion</w:t>
      </w:r>
      <w:r w:rsidR="00E51188">
        <w:t xml:space="preserve">, </w:t>
      </w:r>
      <w:r w:rsidRPr="00B9127B">
        <w:t xml:space="preserve">indeed, most accessibility laws mention training obligations. In practice, the content and quality of such training vary widely, and evidence of effectiveness remains limited. A systematic review by Phillips et al. (2016) concluded that there is a </w:t>
      </w:r>
      <w:r w:rsidRPr="00B9127B">
        <w:rPr>
          <w:i/>
          <w:iCs/>
        </w:rPr>
        <w:t>“</w:t>
      </w:r>
      <w:r w:rsidRPr="00E51188">
        <w:t>shortage of diversity training that is backed by empirical evidence”.</w:t>
      </w:r>
      <w:r w:rsidRPr="00B9127B">
        <w:t xml:space="preserve"> Similarly, a meta-analysis of diversity training more broadly found mixed results and emphasized that training is most effective when it is part of a larger organizational commitment to inclusion, rather than a one-off event (Bezrukova, Jehn, &amp; Spell, 2012). The literature suggests several </w:t>
      </w:r>
      <w:r w:rsidRPr="00E51188">
        <w:t>good practices for accessibility training.</w:t>
      </w:r>
    </w:p>
    <w:p w14:paraId="1D80CE64" w14:textId="77777777" w:rsidR="002710A0" w:rsidRDefault="00B9127B" w:rsidP="00E51188">
      <w:pPr>
        <w:pStyle w:val="BodyCopy"/>
      </w:pPr>
      <w:r w:rsidRPr="00E51188">
        <w:t>First, training should be relevant to the organization’s context and clearly t</w:t>
      </w:r>
      <w:r w:rsidRPr="00B9127B">
        <w:t>ied to applicable laws and internal policies</w:t>
      </w:r>
      <w:r w:rsidR="00E6751A">
        <w:t xml:space="preserve">, </w:t>
      </w:r>
      <w:r w:rsidRPr="00B9127B">
        <w:t xml:space="preserve">for example, explaining how the requirements of the </w:t>
      </w:r>
      <w:r w:rsidRPr="00E6751A">
        <w:t>Accessible Canada Act</w:t>
      </w:r>
      <w:r w:rsidRPr="00B9127B">
        <w:t xml:space="preserve"> or a provincial standard translate into the company’s own procedures (Chavez &amp; Weisinger, 2008; Blackett, 2023). Effective programs use concrete scenarios to illustrate how accessibility issues arise in daily workflows and how employees can address them, rather than sticking to abstract principles. </w:t>
      </w:r>
    </w:p>
    <w:p w14:paraId="0488C038" w14:textId="77777777" w:rsidR="002710A0" w:rsidRDefault="00B9127B" w:rsidP="00E51188">
      <w:pPr>
        <w:pStyle w:val="BodyCopy"/>
      </w:pPr>
      <w:r w:rsidRPr="00B9127B">
        <w:lastRenderedPageBreak/>
        <w:t xml:space="preserve">Second, training efforts must reach </w:t>
      </w:r>
      <w:r w:rsidRPr="00E51188">
        <w:t xml:space="preserve">all levels of staff, including senior leadership and managers, not only front-line employees or specific groups. When executives actively participate, it signals commitment and helps ensure that new knowledge is reinforced through accountability (Mullin et al., 2021). By contrast, if training is isolated to a diversity office or an online module that managers simply “check off,” its impact on organizational culture and practices will be minimal. </w:t>
      </w:r>
    </w:p>
    <w:p w14:paraId="57DFEAA6" w14:textId="77777777" w:rsidR="002710A0" w:rsidRDefault="00B9127B" w:rsidP="00E51188">
      <w:pPr>
        <w:pStyle w:val="BodyCopy"/>
      </w:pPr>
      <w:r w:rsidRPr="00E51188">
        <w:t>Third, research indicates that training should be ongoing and reinforced, not a one-time session. Regular, repeated learning opportunities</w:t>
      </w:r>
      <w:r w:rsidR="000942DC">
        <w:t xml:space="preserve">, </w:t>
      </w:r>
      <w:r w:rsidRPr="00E51188">
        <w:t>whether</w:t>
      </w:r>
      <w:r w:rsidRPr="00B9127B">
        <w:t xml:space="preserve"> annual refreshers, integrated discussions, or on-the-job learning activities</w:t>
      </w:r>
      <w:r w:rsidR="000942DC">
        <w:t xml:space="preserve">, </w:t>
      </w:r>
      <w:r w:rsidRPr="00B9127B">
        <w:t xml:space="preserve">are needed to truly change behaviors and mindsets (Chavez &amp; Weisinger, 2008; Findler et al., 2007). </w:t>
      </w:r>
    </w:p>
    <w:p w14:paraId="7A0FB9C7" w14:textId="11F0ED4D" w:rsidR="002710A0" w:rsidRDefault="00B9127B" w:rsidP="00E51188">
      <w:pPr>
        <w:pStyle w:val="BodyCopy"/>
      </w:pPr>
      <w:r w:rsidRPr="00B9127B">
        <w:t>Fourth, training content and format must themselves be accessible and inclusive for participants. This point, while obvious, is sometimes overlooked: many organizations have rolled out mandatory e-learning modules on disability awareness that were not fully accessible to employees with disabilities, undermining the message</w:t>
      </w:r>
      <w:r w:rsidRPr="002A2C01">
        <w:t>. Ensuring training</w:t>
      </w:r>
      <w:r w:rsidRPr="00B9127B">
        <w:t xml:space="preserve"> sessions, videos, documents, and web content meet accessibility standards (e.g. providing captioning, screen-reader-friendly materials, alternative formats) is a fundamental part of demonstrating an inclusive approach. </w:t>
      </w:r>
    </w:p>
    <w:p w14:paraId="612CEDBB" w14:textId="38774387" w:rsidR="00B9127B" w:rsidRPr="00B9127B" w:rsidRDefault="00B9127B" w:rsidP="00E51188">
      <w:pPr>
        <w:pStyle w:val="BodyCopy"/>
      </w:pPr>
      <w:r w:rsidRPr="00B9127B">
        <w:t xml:space="preserve">Finally, some innovative training approaches show promise but require caution. For example, simulations and role-playing exercises can increase participants’ understanding of disability issues and empathy for colleagues (Lindsay et al., 2020). However, if not designed and facilitated carefully, simulations (such as having participants temporarily use blindfolds or wheelchairs) may inadvertently reinforce stereotypes or discomfort (Lindsay et al., 2020). The consensus in the literature is that </w:t>
      </w:r>
      <w:r w:rsidRPr="002710A0">
        <w:t>effective training alone is not sufficient</w:t>
      </w:r>
      <w:r w:rsidR="002710A0">
        <w:t xml:space="preserve">, </w:t>
      </w:r>
      <w:r w:rsidRPr="00B9127B">
        <w:t xml:space="preserve">it must be part of a broader strategy including policy, leadership accountability, and changes to organizational </w:t>
      </w:r>
      <w:r w:rsidRPr="00B9127B">
        <w:lastRenderedPageBreak/>
        <w:t>systems</w:t>
      </w:r>
      <w:r w:rsidR="002710A0">
        <w:t xml:space="preserve">, </w:t>
      </w:r>
      <w:r w:rsidRPr="00B9127B">
        <w:t>but it is a necessary component of building the skills and awareness that comprise accessibility competency (Chavez &amp; Weisinger, 2008; Mullin et al., 2021; Phillips et al., 2016).</w:t>
      </w:r>
    </w:p>
    <w:p w14:paraId="7296D9C8" w14:textId="77777777" w:rsidR="002710A0" w:rsidRDefault="00B9127B" w:rsidP="002710A0">
      <w:pPr>
        <w:pStyle w:val="Heading4"/>
      </w:pPr>
      <w:r w:rsidRPr="00B9127B">
        <w:t>Integrating research findings into practice</w:t>
      </w:r>
    </w:p>
    <w:p w14:paraId="6441BA7B" w14:textId="77777777" w:rsidR="002B5F4C" w:rsidRDefault="00B9127B" w:rsidP="002710A0">
      <w:pPr>
        <w:pStyle w:val="BodyCopy"/>
        <w:sectPr w:rsidR="002B5F4C" w:rsidSect="009F7FEB">
          <w:pgSz w:w="12240" w:h="15840"/>
          <w:pgMar w:top="1728" w:right="1440" w:bottom="1080" w:left="1440" w:header="709" w:footer="317" w:gutter="0"/>
          <w:cols w:space="708"/>
          <w:docGrid w:linePitch="360"/>
        </w:sectPr>
      </w:pPr>
      <w:r w:rsidRPr="00B9127B">
        <w:t>A primary goal of this review was to extract actionable insights that can guide organizations and the development of competency frameworks. A central finding is that many employers have approached accessibility only at a surface level, focusing on compliance requirements (such as providing a one-time training or drafting a general policy) rather than cultivating an organizational culture of inclusion and specific role-based competencies. This is sometimes reinforced by the way legal requirements are written</w:t>
      </w:r>
      <w:r w:rsidR="007D3320">
        <w:t>,</w:t>
      </w:r>
      <w:r w:rsidRPr="00B9127B">
        <w:t xml:space="preserve"> for example, Ontario’s AODA mandates that organizations train staff on accessibility standards (Accessibility for Ontarians with Disabilities Act, 2005), but it does not define the content or quality of such training. Our review highlights that </w:t>
      </w:r>
      <w:r w:rsidRPr="007D3320">
        <w:t>bridging this gap requires treating accessibility as an ongoing learning process and a shared responsibility</w:t>
      </w:r>
      <w:r w:rsidRPr="00B9127B">
        <w:t>. This includes clarity from the top (setting expectations that every department and role has a part to play in accessibility), investment in practical training and tools, and mechanisms to hold organizations accountable for outcomes beyond just paper compliance (Blackett, 2023; Onley, 2019). Notably, our search did not find any off-the-shelf “accessibility competency” models ready for direct adoption. This underlines why CNIB’s initiative to develop an Accessibility Competency Framework is timely</w:t>
      </w:r>
      <w:r w:rsidR="002B5F4C">
        <w:t xml:space="preserve">, </w:t>
      </w:r>
      <w:r w:rsidRPr="00B9127B">
        <w:t xml:space="preserve">it addresses a recognized need to go beyond broad mandates and help organizations understand </w:t>
      </w:r>
      <w:r w:rsidR="002B5F4C">
        <w:t>“</w:t>
      </w:r>
      <w:r w:rsidRPr="002B5F4C">
        <w:t>how</w:t>
      </w:r>
      <w:r w:rsidR="002B5F4C">
        <w:rPr>
          <w:i/>
          <w:iCs/>
        </w:rPr>
        <w:t>”</w:t>
      </w:r>
      <w:r w:rsidRPr="00B9127B">
        <w:t xml:space="preserve"> to operationalize accessibility on a day-to-day basis. The next sections of this report (the legislative review, environmental scan, and primary research) will build on these literature insights to propose a framework and recommendations tailored to the Canadian context.</w:t>
      </w:r>
    </w:p>
    <w:p w14:paraId="181A1798" w14:textId="1908F9EF" w:rsidR="00B9127B" w:rsidRPr="00B9127B" w:rsidRDefault="002B5F4C" w:rsidP="00CB40B5">
      <w:pPr>
        <w:pStyle w:val="Heading3"/>
      </w:pPr>
      <w:bookmarkStart w:id="19" w:name="_Toc243923404"/>
      <w:r>
        <w:lastRenderedPageBreak/>
        <w:t>E</w:t>
      </w:r>
      <w:r w:rsidR="00B9127B" w:rsidRPr="00B9127B">
        <w:t>nvironmental Scan</w:t>
      </w:r>
      <w:bookmarkEnd w:id="19"/>
    </w:p>
    <w:p w14:paraId="65440EF4" w14:textId="43153908" w:rsidR="002B5F4C" w:rsidRDefault="00B9127B" w:rsidP="003B4727">
      <w:pPr>
        <w:pStyle w:val="BodyCopy"/>
      </w:pPr>
      <w:r w:rsidRPr="00B9127B">
        <w:t xml:space="preserve">The environmental scan complements the literature review by examining how accessibility competence is being promoted in practice by organizations across Canada and the United States. Whereas the literature review drew on academic and policy sources, the scan looked outward to </w:t>
      </w:r>
      <w:r w:rsidRPr="003B4727">
        <w:t>real-world organizations</w:t>
      </w:r>
      <w:r w:rsidR="003B4727">
        <w:t>,</w:t>
      </w:r>
      <w:r w:rsidRPr="00B9127B">
        <w:t xml:space="preserve"> including public-sector agencies, non-profit organizations, and private companies</w:t>
      </w:r>
      <w:r w:rsidR="003B4727">
        <w:t>,</w:t>
      </w:r>
      <w:r w:rsidRPr="00B9127B">
        <w:t xml:space="preserve"> to identify current initiatives, programs, and policies aimed at improving accessibility and inclusion in the workplace. This scan was jointly informed by BHER’s broad survey of 52 organizations (highlighting examples of “good practices”) and Katerina Koudinov’s detailed inventory of accessibility training services available in Canada. The goal was to understand what strategies and resources are already in use, which aspects of accessibility competence they address, and where there are gaps or opportunities for innovation. This section presents a unified analysis of the findings, organized around major themes in the practice landscape.</w:t>
      </w:r>
    </w:p>
    <w:p w14:paraId="403A21A6" w14:textId="77777777" w:rsidR="002B5F4C" w:rsidRDefault="00B9127B" w:rsidP="00D05031">
      <w:pPr>
        <w:pStyle w:val="Heading4"/>
      </w:pPr>
      <w:r w:rsidRPr="00B9127B">
        <w:t>Prevailing focus on compliance training</w:t>
      </w:r>
    </w:p>
    <w:p w14:paraId="44424723" w14:textId="30202F46" w:rsidR="00A23964" w:rsidRPr="00B9127B" w:rsidRDefault="00B9127B" w:rsidP="009566FE">
      <w:pPr>
        <w:pStyle w:val="BodyCopy"/>
      </w:pPr>
      <w:r w:rsidRPr="00B9127B">
        <w:t xml:space="preserve">A clear pattern in the environmental scan is that the majority of readily available workplace accessibility training is </w:t>
      </w:r>
      <w:r w:rsidR="00285A35" w:rsidRPr="00A23964">
        <w:t>compliance</w:t>
      </w:r>
      <w:r w:rsidR="00285A35">
        <w:t xml:space="preserve"> oriented</w:t>
      </w:r>
      <w:r w:rsidRPr="00A23964">
        <w:t>.</w:t>
      </w:r>
      <w:r w:rsidRPr="00B9127B">
        <w:t xml:space="preserve"> Many organizations</w:t>
      </w:r>
      <w:r w:rsidR="00A23964">
        <w:t xml:space="preserve">, </w:t>
      </w:r>
      <w:r w:rsidRPr="00B9127B">
        <w:t>especially in Canada</w:t>
      </w:r>
      <w:r w:rsidR="00A23964">
        <w:t>,</w:t>
      </w:r>
      <w:r w:rsidRPr="00B9127B">
        <w:t xml:space="preserve"> have developed training programs primarily to meet legislative requirements, such as Ontario’s AODA mandate that all employees receive training on accessibility standards (Accessibility for Ontarians with Disabilities Act, 2005). For instance, the Government of Ontario provides free e-learning modules (each roughly 15–30 minutes long) on topics like Customer Service Standards, Information and Communication Standards, Employment Standards, and Design of Public Spaces, which cover the basics of the AODA requirements. These modules are widely used by organizations to fulfill legal obligations to train staff. While such courses help establish </w:t>
      </w:r>
      <w:r w:rsidRPr="009566FE">
        <w:t>a baseline awareness</w:t>
      </w:r>
      <w:r w:rsidRPr="00B9127B">
        <w:t xml:space="preserve"> of accessibility definitions and rules, their content is typically general and </w:t>
      </w:r>
      <w:r w:rsidRPr="00B9127B">
        <w:lastRenderedPageBreak/>
        <w:t>brief, emphasizing awareness of the law and courteous customer service rather than building practical skills for creating accessible work environments</w:t>
      </w:r>
    </w:p>
    <w:p w14:paraId="07FE36A7" w14:textId="61F7D3C9" w:rsidR="009566FE" w:rsidRPr="00B9127B" w:rsidRDefault="00B9127B" w:rsidP="003A00D2">
      <w:pPr>
        <w:pStyle w:val="BodyCopy"/>
        <w:rPr>
          <w:b/>
          <w:bCs/>
        </w:rPr>
      </w:pPr>
      <w:r w:rsidRPr="00B9127B">
        <w:t xml:space="preserve">Outside of mandated government training, the landscape of accessibility-related training is fragmented. </w:t>
      </w:r>
      <w:r w:rsidRPr="009566FE">
        <w:t>Private training vendors and non-profit organizations offer a variety of</w:t>
      </w:r>
      <w:r w:rsidRPr="00B9127B">
        <w:t xml:space="preserve"> short courses and workshops, often focusing on specific skills or topics. Common offerings include: how to create accessible documents (e.g. making Word or PDF files accessible), understanding assistive technologies, web accessibility and WCAG compliance workshops, and general “disability awareness” or “sensitivity” training for employees. These courses are delivered in formats ranging </w:t>
      </w:r>
      <w:r w:rsidR="003A00D2" w:rsidRPr="00B9127B">
        <w:t>from one-hour webinars and on-demand e-learning</w:t>
      </w:r>
      <w:r w:rsidRPr="00B9127B">
        <w:t xml:space="preserve"> to multi-week instructor-led programs for professional certification. Many are open to the general public or marketed to workplaces as turn-key solutions. The </w:t>
      </w:r>
      <w:r w:rsidRPr="003A00D2">
        <w:t>Rick Hansen Foundation</w:t>
      </w:r>
      <w:r w:rsidRPr="00B9127B">
        <w:t>, for example, provides a suite of courses including short “Inclusion and Accessibility” training for employees and more intensive “Professional” training for accessibility specialists in the built environment. Various disability-focused non-profits and consultancies (e.g. in British Columbia and Nova Scotia) have created training modules for employers on topics like respectful communication, inclusive hiring practices, and disability confidence.</w:t>
      </w:r>
    </w:p>
    <w:p w14:paraId="692E53B5" w14:textId="11B27046" w:rsidR="00B9127B" w:rsidRPr="00B9127B" w:rsidRDefault="00B9127B" w:rsidP="003A00D2">
      <w:pPr>
        <w:pStyle w:val="BodyCopy"/>
      </w:pPr>
      <w:r w:rsidRPr="00B9127B">
        <w:t xml:space="preserve">The </w:t>
      </w:r>
      <w:r w:rsidRPr="003A00D2">
        <w:t>breadth of topics</w:t>
      </w:r>
      <w:r w:rsidRPr="00B9127B">
        <w:t xml:space="preserve"> covered by available training is encouraging, but the scan also reveals challenges. One issue is that much of the training remains </w:t>
      </w:r>
      <w:r w:rsidRPr="003A00D2">
        <w:t>short-term and awareness-driven.</w:t>
      </w:r>
      <w:r w:rsidRPr="00B9127B">
        <w:t xml:space="preserve"> Webinars or lunch-and-learn sessions can introduce concepts but may not be sufficient to change practices. Unless they are part of a larger capacity-building program, their effect may be limited. Another issue is </w:t>
      </w:r>
      <w:r w:rsidRPr="003A00D2">
        <w:t>that training for managers and leaders is not as common</w:t>
      </w:r>
      <w:r w:rsidRPr="00B9127B">
        <w:t xml:space="preserve"> as basic employee disability awareness training. This aligns with the literature: without leadership “buy-in” and modeling of accessibility competencies at the top, it is difficult for training to translate into organizational change (Mullin et al., 2021). A third concern is that the </w:t>
      </w:r>
      <w:r w:rsidRPr="003A00D2">
        <w:lastRenderedPageBreak/>
        <w:t>accessibility of the training itself</w:t>
      </w:r>
      <w:r w:rsidRPr="00B9127B">
        <w:t xml:space="preserve"> is not always guaranteed. In Katerina’s inventory of Canadian training services, the majority of offerings did not explicitly mention whether the training materials were available in alternate formats or if the training platform was accessible for all participants</w:t>
      </w:r>
      <w:r w:rsidR="00397FAC">
        <w:t xml:space="preserve">. </w:t>
      </w:r>
      <w:r w:rsidRPr="00B9127B">
        <w:t>This omission suggests a lack of consistency in “practicing what we preach</w:t>
      </w:r>
      <w:r w:rsidR="00A47EBC">
        <w:t>,</w:t>
      </w:r>
      <w:r w:rsidRPr="00B9127B">
        <w:t>” a reminder that developing accessibility competence must include the way we deliver education and information.</w:t>
      </w:r>
    </w:p>
    <w:p w14:paraId="5C5FF6EE" w14:textId="77777777" w:rsidR="00A47EBC" w:rsidRPr="00A47EBC" w:rsidRDefault="00B9127B" w:rsidP="00D05031">
      <w:pPr>
        <w:pStyle w:val="Heading4"/>
        <w:rPr>
          <w:rFonts w:eastAsiaTheme="minorHAnsi"/>
        </w:rPr>
      </w:pPr>
      <w:r w:rsidRPr="00A47EBC">
        <w:rPr>
          <w:rFonts w:eastAsiaTheme="majorEastAsia"/>
        </w:rPr>
        <w:t>Innovative practices and comprehensive approaches</w:t>
      </w:r>
    </w:p>
    <w:p w14:paraId="314E2FA8" w14:textId="1551460B" w:rsidR="00B9127B" w:rsidRPr="00285A35" w:rsidRDefault="00B9127B" w:rsidP="00A47EBC">
      <w:pPr>
        <w:pStyle w:val="BodyCopy"/>
      </w:pPr>
      <w:r w:rsidRPr="00B9127B">
        <w:t xml:space="preserve">Despite these challenges, the environmental scan also highlights numerous </w:t>
      </w:r>
      <w:r w:rsidRPr="00A47EBC">
        <w:t>promising practices</w:t>
      </w:r>
      <w:r w:rsidRPr="00B9127B">
        <w:t xml:space="preserve"> that illustrate how organizations can foster accessibility competence. BHER’s research identified nine broad practice areas (spanning policy, technology, communication, training, feedback, and more) that appear to support accessibility initiatives when implemented effectively</w:t>
      </w:r>
      <w:r w:rsidR="00457372">
        <w:t xml:space="preserve">. </w:t>
      </w:r>
      <w:r w:rsidRPr="00B9127B">
        <w:t xml:space="preserve">Many leading organizations combine multiple strategies. For example, large companies known as accessibility leaders (e.g. major Canadian banks and tech firms) typically have </w:t>
      </w:r>
      <w:r w:rsidRPr="00DE44ED">
        <w:t>formal policies</w:t>
      </w:r>
      <w:r w:rsidRPr="00B9127B">
        <w:t xml:space="preserve"> that go beyond legal compliance, </w:t>
      </w:r>
      <w:r w:rsidRPr="00DE44ED">
        <w:t>partnerships</w:t>
      </w:r>
      <w:r w:rsidRPr="00B9127B">
        <w:t xml:space="preserve"> with disability organizations, ongoing </w:t>
      </w:r>
      <w:r w:rsidRPr="00DE44ED">
        <w:t>employee</w:t>
      </w:r>
      <w:r w:rsidRPr="00B9127B">
        <w:rPr>
          <w:b/>
          <w:bCs/>
        </w:rPr>
        <w:t xml:space="preserve"> </w:t>
      </w:r>
      <w:r w:rsidRPr="00DE44ED">
        <w:t>training</w:t>
      </w:r>
      <w:r w:rsidRPr="00B9127B">
        <w:t xml:space="preserve"> programs, </w:t>
      </w:r>
      <w:r w:rsidRPr="00DE44ED">
        <w:t>employee</w:t>
      </w:r>
      <w:r w:rsidRPr="00B9127B">
        <w:rPr>
          <w:b/>
          <w:bCs/>
        </w:rPr>
        <w:t xml:space="preserve"> </w:t>
      </w:r>
      <w:r w:rsidRPr="00DE44ED">
        <w:t>resource groups or advisory councils</w:t>
      </w:r>
      <w:r w:rsidRPr="00B9127B">
        <w:t xml:space="preserve"> that engage staff with disabilities in decision-making, regular </w:t>
      </w:r>
      <w:r w:rsidRPr="00DE44ED">
        <w:t>accessibility audits, customer and employee feedback mechanisms, and public engagement or advocacy efforts</w:t>
      </w:r>
      <w:r w:rsidRPr="00B9127B">
        <w:t xml:space="preserve"> to promote inclusion. Public-sector institutions like federal agencies have also developed multi-faceted programs: for instance, Service Canada established internal accessibility teams and training as part of complying with the Accessible Canada Act, and the Canadian Human Rights Commission has implemented organization-wide accessibility plans and feedback processes. In the non-profit sector, organizations such as the </w:t>
      </w:r>
      <w:r w:rsidRPr="00285A35">
        <w:t xml:space="preserve">Disability Alliance BC and Easter Seals Canada run specialized training and mentoring programs that help other employers become </w:t>
      </w:r>
      <w:r w:rsidRPr="00B9127B">
        <w:t xml:space="preserve">more inclusive (often focusing on specific areas like disability awareness, legal compliance, or assistive technology use). Collaboration is a recurring theme: companies that excel in this area often </w:t>
      </w:r>
      <w:r w:rsidRPr="00B9127B">
        <w:lastRenderedPageBreak/>
        <w:t xml:space="preserve">seek guidance from external experts or partner with disability-focused groups (e.g. consulting with accessibility organizations or participating in networks like </w:t>
      </w:r>
      <w:r w:rsidRPr="00285A35">
        <w:t>the Community of Accessible Employers in British Columbia).</w:t>
      </w:r>
    </w:p>
    <w:p w14:paraId="1F86FEE6" w14:textId="236B7397" w:rsidR="00B9127B" w:rsidRPr="00285A35" w:rsidRDefault="00B9127B" w:rsidP="00A47EBC">
      <w:pPr>
        <w:pStyle w:val="BodyCopy"/>
      </w:pPr>
      <w:r w:rsidRPr="00285A35">
        <w:t xml:space="preserve">The training services inventory for Canada provides additional granularity on the kinds of training available. It shows that federal and provincial governments have produced several online toolkits and courses to assist organizations. Besides the Ontario and Manitoba government modules mentioned above, the Government of Canada’s Digital Accessibility Toolkit centralizes tutorials on making websites and digital content accessible, and Nova Scotia’s Human Rights Commission offers a free course called “Working with Abilities” to educate employers on accommodating disabilities in the workplace. Post-secondary institutions are also getting involved: for example, Carleton University’s Professional Education for Accessibility Competence (PEAC) program (launched in Ontario) is a non-credit certificate aimed at moving organizations “beyond compliance to inclusion” by training accessibility champions within companies. These efforts indicate a growing recognition that accessibility competence requires more than reading a policy – it requires specific learning and capacity building. </w:t>
      </w:r>
    </w:p>
    <w:p w14:paraId="58468661" w14:textId="77777777" w:rsidR="00285A35" w:rsidRDefault="00B9127B" w:rsidP="00D05031">
      <w:pPr>
        <w:pStyle w:val="Heading4"/>
      </w:pPr>
      <w:r w:rsidRPr="00B9127B">
        <w:t>Gaps and opportunities</w:t>
      </w:r>
    </w:p>
    <w:p w14:paraId="18ED803E" w14:textId="4660DBDE" w:rsidR="00B9127B" w:rsidRPr="00B9127B" w:rsidRDefault="00B9127B" w:rsidP="00285A35">
      <w:pPr>
        <w:pStyle w:val="BodyCopy"/>
      </w:pPr>
      <w:r w:rsidRPr="00B9127B">
        <w:t xml:space="preserve">Notwithstanding the positive examples noted, the overall picture that emerges from the scan is that most organizations are still in early stages of developing true accessibility competence. Many initiatives are </w:t>
      </w:r>
      <w:r w:rsidRPr="00285A35">
        <w:t>piecemeal</w:t>
      </w:r>
      <w:r w:rsidRPr="00B9127B">
        <w:t>. For instance, an employer might implement a new accessible customer service training because it is legally required, but fail to invest in less visible areas like accessible procurement or internal communications. Or a company might upgrade its digital products for customers with disabilities while neglecting the accessibility of its internal IT systems for employees. This imbalance</w:t>
      </w:r>
      <w:r w:rsidR="00285A35">
        <w:t xml:space="preserve">, </w:t>
      </w:r>
      <w:r w:rsidRPr="00B9127B">
        <w:t>prioritizing customer-facing accessibility over workplace inclusion</w:t>
      </w:r>
      <w:r w:rsidR="00285A35">
        <w:t xml:space="preserve">, </w:t>
      </w:r>
      <w:r w:rsidRPr="00B9127B">
        <w:t xml:space="preserve">was observed in several cases and is echoed in broader </w:t>
      </w:r>
      <w:r w:rsidRPr="00B9127B">
        <w:lastRenderedPageBreak/>
        <w:t xml:space="preserve">assessments of Canadian organizations (Dragicevic &amp; Thirgood, 2023). </w:t>
      </w:r>
      <w:r w:rsidRPr="00285A35">
        <w:t>The lack of robust evaluation</w:t>
      </w:r>
      <w:r w:rsidRPr="00B9127B">
        <w:t xml:space="preserve"> is another significant gap: even when organizations roll out training or new policies, few measure the outcomes in terms of improved confidence, skills, or reduced barriers. As BHER notes, the actual quality and effectiveness of many current accessibility training programs </w:t>
      </w:r>
      <w:r w:rsidRPr="00B9127B">
        <w:rPr>
          <w:i/>
          <w:iCs/>
        </w:rPr>
        <w:t>“</w:t>
      </w:r>
      <w:r w:rsidRPr="009E1635">
        <w:t>can only be truly evaluated through direct investigation</w:t>
      </w:r>
      <w:r w:rsidRPr="00B9127B">
        <w:t>.</w:t>
      </w:r>
      <w:r w:rsidR="006A550E">
        <w:t>”</w:t>
      </w:r>
      <w:r w:rsidRPr="00B9127B">
        <w:t xml:space="preserve"> This leads to a cycle where organizations implement widely accepted practices (e.g. unconscious bias training, disability awareness days) without strong evidence of their impact, simply because these practices are considered industry “best practices.”</w:t>
      </w:r>
    </w:p>
    <w:p w14:paraId="6A5D9753" w14:textId="074DD73F" w:rsidR="00B9127B" w:rsidRPr="00696FD5" w:rsidRDefault="00B9127B" w:rsidP="00671083">
      <w:pPr>
        <w:pStyle w:val="BodyCopy"/>
      </w:pPr>
      <w:r w:rsidRPr="00696FD5">
        <w:t>Finally, the scan underscores the need to address structural and cultural dimensions of accessibility alongside technical fixes. Many of the standout organizations make accessibility visible and accountable across the organization: for example, by establishing cross-functional accessibility task forces, assigning formal responsibility to executives, and publicly reporting on progress. These mechanisms go beyond training by embedding accessibility into governance. They also align with what the literature says about sustaining change: without top-level commitment and accountability, the best of intentions at the frontline may wither (Mullin et al., 2021). Yet, such mechanisms are not yet common.</w:t>
      </w:r>
    </w:p>
    <w:p w14:paraId="7A3A49EA" w14:textId="52E607C5" w:rsidR="00B9127B" w:rsidRPr="00B9127B" w:rsidRDefault="00B9127B" w:rsidP="00573042">
      <w:pPr>
        <w:pStyle w:val="BodyCopy"/>
      </w:pPr>
      <w:r w:rsidRPr="006014EE">
        <w:t>In summary, the practical landscape reveals a strong compliance core</w:t>
      </w:r>
      <w:r w:rsidR="006014EE" w:rsidRPr="006014EE">
        <w:t xml:space="preserve">, </w:t>
      </w:r>
      <w:r w:rsidRPr="006014EE">
        <w:t>most organizations are aware of their legal obligations</w:t>
      </w:r>
      <w:r w:rsidR="006014EE" w:rsidRPr="006014EE">
        <w:t xml:space="preserve">, </w:t>
      </w:r>
      <w:r w:rsidRPr="006014EE">
        <w:t xml:space="preserve">but a continuing need to translate that awareness into capability. There are encouraging examples of organizations taking comprehensive action, but also many instances of superficial or one-dimensional approaches. The insights from this environmental scan, together with the literature review, point to several opportunities for improvement. Organizations would benefit from expanding their focus on role-specific competencies, ensuring that training leads to tangible changes in practice, and investing in systems (like feedback channels, employee networks, and accountability measures) that reinforce and sustain accessibility as an organizational norm. These insights will </w:t>
      </w:r>
      <w:r w:rsidRPr="006014EE">
        <w:lastRenderedPageBreak/>
        <w:t>directly inform the development of CNIB’s Accessibility Competency Framework and the recommendations for next steps. In particular, they highlight that improving workplace accessibility competence is not about one program or policy change</w:t>
      </w:r>
      <w:r w:rsidR="003B4BDB">
        <w:t xml:space="preserve">, </w:t>
      </w:r>
      <w:r w:rsidRPr="006014EE">
        <w:t>it is about a constellation of practices that need to work in concert to drive cultural and structural change. The subsequent phases of this project, including primary research with organizations and co-design sessions with stakeholders, will seek to validate and build upon these findings to formulate a practical, evidence-informed framework for action.</w:t>
      </w:r>
    </w:p>
    <w:p w14:paraId="29329623" w14:textId="053816C7" w:rsidR="00B9127B" w:rsidRPr="00B9127B" w:rsidRDefault="00B9127B" w:rsidP="00CB40B5">
      <w:pPr>
        <w:pStyle w:val="Heading3"/>
      </w:pPr>
      <w:bookmarkStart w:id="20" w:name="_Toc243923405"/>
      <w:r w:rsidRPr="00B9127B">
        <w:t>Consolidated Literature and Scan Evidence</w:t>
      </w:r>
      <w:bookmarkEnd w:id="20"/>
    </w:p>
    <w:p w14:paraId="14B68792" w14:textId="7FFB7DEF" w:rsidR="00B9127B" w:rsidRPr="00B9127B" w:rsidRDefault="00573042" w:rsidP="00573042">
      <w:pPr>
        <w:pStyle w:val="BodyCopy"/>
      </w:pPr>
      <w:r>
        <w:t>Here, we provide a</w:t>
      </w:r>
      <w:r w:rsidR="00B9127B" w:rsidRPr="00B9127B">
        <w:t xml:space="preserve"> consolidated account of the source materials and key content that informed the above synthesis. It is intended as a record of the evidence base behind the literature review and environmental scan. It can be used for reference or verification and made available on request to </w:t>
      </w:r>
      <w:r w:rsidR="00290376">
        <w:t>those</w:t>
      </w:r>
      <w:r w:rsidR="00B9127B" w:rsidRPr="00B9127B">
        <w:t xml:space="preserve"> interested in the detailed inputs to this report.</w:t>
      </w:r>
    </w:p>
    <w:p w14:paraId="397BB120" w14:textId="651F27A5" w:rsidR="00B9127B" w:rsidRPr="00B9127B" w:rsidRDefault="00B9127B" w:rsidP="00D05031">
      <w:pPr>
        <w:pStyle w:val="Heading4"/>
      </w:pPr>
      <w:r w:rsidRPr="00B9127B">
        <w:t>Source documents and research inputs</w:t>
      </w:r>
    </w:p>
    <w:p w14:paraId="5946DE3B" w14:textId="5047432F" w:rsidR="00B9127B" w:rsidRPr="00B9127B" w:rsidRDefault="00B9127B" w:rsidP="008F4B3F">
      <w:pPr>
        <w:pStyle w:val="BodyCopy"/>
        <w:numPr>
          <w:ilvl w:val="0"/>
          <w:numId w:val="2"/>
        </w:numPr>
      </w:pPr>
      <w:r w:rsidRPr="00B9127B">
        <w:rPr>
          <w:b/>
          <w:bCs/>
        </w:rPr>
        <w:t>BHER Phase 1 Research Report:</w:t>
      </w:r>
      <w:r w:rsidRPr="00B9127B">
        <w:t xml:space="preserve"> Accessibility competence in the workplace: Good practices, environmental scan, literature review, and legislation review of Canada and the USA. This is an unpublished research report produced by BHER for CNIB, which included a comprehensive literature review (primarily covering academic and grey literature from 1990–2024 in the U.S. and 2005–2024 in Canada), a review of Canadian and U.S. legislation, and an environmental scan of 52 organizations’ accessibility practices.</w:t>
      </w:r>
    </w:p>
    <w:p w14:paraId="0EC873D3" w14:textId="77777777" w:rsidR="00B9127B" w:rsidRPr="00B9127B" w:rsidRDefault="00B9127B" w:rsidP="008F4B3F">
      <w:pPr>
        <w:pStyle w:val="BodyCopy"/>
        <w:numPr>
          <w:ilvl w:val="0"/>
          <w:numId w:val="2"/>
        </w:numPr>
      </w:pPr>
      <w:r w:rsidRPr="00B9127B">
        <w:rPr>
          <w:b/>
          <w:bCs/>
        </w:rPr>
        <w:t>Internship Research by K. Koudinov (2025):</w:t>
      </w:r>
      <w:r w:rsidRPr="00B9127B">
        <w:t xml:space="preserve"> This includes several internal documents prepared by the UTM SOC480Y5 intern: a structured literature review focused on workplace accessibility and compliance (“Organizational Signaling” literature review), an analysis of the variability in diversity and inclusion terminology (“Variability of </w:t>
      </w:r>
      <w:r w:rsidRPr="00B9127B">
        <w:lastRenderedPageBreak/>
        <w:t>Focus: D&amp;I, EDI, and IDEA”), and a spreadsheet inventory titled Accessibility Training Services in Canada (Oct 2025) cataloguing available training programs, courses, and resources across provinces. These materials provided detailed insights, particularly on Canadian contexts, language/definitions, and the training landscape.</w:t>
      </w:r>
    </w:p>
    <w:p w14:paraId="3B1018D4" w14:textId="77777777" w:rsidR="00B9127B" w:rsidRPr="00B9127B" w:rsidRDefault="00B9127B" w:rsidP="008F4B3F">
      <w:pPr>
        <w:pStyle w:val="BodyCopy"/>
        <w:numPr>
          <w:ilvl w:val="0"/>
          <w:numId w:val="2"/>
        </w:numPr>
      </w:pPr>
      <w:r w:rsidRPr="00B9127B">
        <w:rPr>
          <w:b/>
          <w:bCs/>
        </w:rPr>
        <w:t>Policy and standards documents:</w:t>
      </w:r>
      <w:r w:rsidRPr="00B9127B">
        <w:t xml:space="preserve"> Key legislative texts (e.g., ADA, ACA, AODA, AMA) and emerging standards (especially the CSA National Standard of Canada for Accessible Employment) were reviewed to understand regulatory requirements and recommended practices. These are reflected in both BHER’s report and Katerina’s analysis, and they have been treated as primary source material for factual information about legal obligations and standards.</w:t>
      </w:r>
    </w:p>
    <w:p w14:paraId="16A99AC7" w14:textId="37176EF8" w:rsidR="00D9573D" w:rsidRDefault="00B9127B" w:rsidP="00D05031">
      <w:pPr>
        <w:pStyle w:val="Heading4"/>
      </w:pPr>
      <w:r w:rsidRPr="00D9573D">
        <w:t>Thematic summary of literature insights</w:t>
      </w:r>
    </w:p>
    <w:p w14:paraId="7395592D" w14:textId="2CD230DF" w:rsidR="00B9127B" w:rsidRPr="00B9127B" w:rsidRDefault="00B9127B" w:rsidP="00D9573D">
      <w:pPr>
        <w:pStyle w:val="BodyCopy"/>
      </w:pPr>
      <w:r w:rsidRPr="00B9127B">
        <w:t>The following table summarizes how major themes in the literature review were derived from the source materials and the original references that support them:</w:t>
      </w:r>
    </w:p>
    <w:p w14:paraId="6FBC05A8" w14:textId="140D2F45" w:rsidR="009439F4" w:rsidRPr="009439F4" w:rsidRDefault="009439F4" w:rsidP="009439F4">
      <w:pPr>
        <w:pStyle w:val="BodyCopy"/>
        <w:numPr>
          <w:ilvl w:val="0"/>
          <w:numId w:val="2"/>
        </w:numPr>
      </w:pPr>
      <w:r w:rsidRPr="009439F4">
        <w:rPr>
          <w:b/>
          <w:bCs/>
        </w:rPr>
        <w:t>Disability as a social and environmental phenomenon</w:t>
      </w:r>
      <w:r w:rsidRPr="009439F4">
        <w:br/>
        <w:t>The internship literature review framed disability primarily through the social model and a human-rights lens, drawing on the CRPD and authors such as Stein (2014). This aligns with BHER’s use of human-rights–based definitions of disability that emphasize environmental and structural barriers rather than individual impairment.</w:t>
      </w:r>
    </w:p>
    <w:p w14:paraId="1B320069" w14:textId="58DB36B8" w:rsidR="009439F4" w:rsidRPr="009439F4" w:rsidRDefault="009439F4" w:rsidP="009439F4">
      <w:pPr>
        <w:pStyle w:val="BodyCopy"/>
        <w:numPr>
          <w:ilvl w:val="0"/>
          <w:numId w:val="2"/>
        </w:numPr>
      </w:pPr>
      <w:r w:rsidRPr="009439F4">
        <w:rPr>
          <w:b/>
          <w:bCs/>
        </w:rPr>
        <w:t>Distinction between accessibility and accommodation</w:t>
      </w:r>
      <w:r w:rsidRPr="009439F4">
        <w:br/>
        <w:t>The internship review emphasized the difference between proactive accessibility and reactive accommodations, citing ISO 30415:2021, NSC (2024), and research by Konrad et al. (2013) and Hossain et al. (2021). Similarly, BHER defined “accessibility competence” as proactive knowledge and skills that go beyond legal compliance or individual accommodation responses.</w:t>
      </w:r>
    </w:p>
    <w:p w14:paraId="684671B7" w14:textId="6CCF03B6" w:rsidR="009439F4" w:rsidRPr="009439F4" w:rsidRDefault="009439F4" w:rsidP="009439F4">
      <w:pPr>
        <w:pStyle w:val="BodyCopy"/>
        <w:numPr>
          <w:ilvl w:val="0"/>
          <w:numId w:val="2"/>
        </w:numPr>
      </w:pPr>
      <w:r w:rsidRPr="009439F4">
        <w:rPr>
          <w:b/>
          <w:bCs/>
        </w:rPr>
        <w:lastRenderedPageBreak/>
        <w:t>Legislative context: Canada versus the United States</w:t>
      </w:r>
      <w:r w:rsidRPr="009439F4">
        <w:br/>
        <w:t>Both sources highlighted differences in the timing and scope of disability legislation across jurisdictions (Kovacs Burns &amp; Gordon, 2010). They also noted a relative lack of Canadian research examining workplace outcomes following newer legislation, such as the Accessible Canada Act (2019), compared to the more established U.S. evidence base (Harris et al., 2014).</w:t>
      </w:r>
    </w:p>
    <w:p w14:paraId="718574CF" w14:textId="5CCE5946" w:rsidR="009439F4" w:rsidRPr="009439F4" w:rsidRDefault="009439F4" w:rsidP="009439F4">
      <w:pPr>
        <w:pStyle w:val="BodyCopy"/>
        <w:numPr>
          <w:ilvl w:val="0"/>
          <w:numId w:val="2"/>
        </w:numPr>
      </w:pPr>
      <w:r w:rsidRPr="009439F4">
        <w:rPr>
          <w:b/>
          <w:bCs/>
        </w:rPr>
        <w:t>Vagueness of requirements and guidance</w:t>
      </w:r>
      <w:r w:rsidRPr="009439F4">
        <w:br/>
        <w:t>The internship literature review discussed how broad or non-specific accessibility policies can impede implementation in practice, particularly when commitments are not accompanied by concrete guidance. BHER’s review echoed this concern, noting that training mandates often lack clarity. Relevant sources included Dragicevic and Thirgood (2023) and recommendations from the Employment Equity Act Review (Blackett, 2023).</w:t>
      </w:r>
    </w:p>
    <w:p w14:paraId="27DF28A7" w14:textId="7343AB84" w:rsidR="009439F4" w:rsidRPr="009439F4" w:rsidRDefault="009439F4" w:rsidP="009439F4">
      <w:pPr>
        <w:pStyle w:val="BodyCopy"/>
        <w:numPr>
          <w:ilvl w:val="0"/>
          <w:numId w:val="2"/>
        </w:numPr>
      </w:pPr>
      <w:r w:rsidRPr="009439F4">
        <w:rPr>
          <w:b/>
          <w:bCs/>
        </w:rPr>
        <w:t>Underenforcement of regulations</w:t>
      </w:r>
      <w:r w:rsidRPr="009439F4">
        <w:br/>
        <w:t>The internship review identified underenforcement of Ontario’s Accessibility for Ontarians with Disabilities Act (AODA) (Onley, 2019; Dragicevic &amp; Thirgood, 2023) and limited impacts associated with Canada’s Employment Equity Act (Rioux &amp; Patton, 2014). BHER similarly observed that many organizations engage in superficial compliance, following “expected trends” without pursuing substantive organizational change.</w:t>
      </w:r>
    </w:p>
    <w:p w14:paraId="37276775" w14:textId="0617E609" w:rsidR="009439F4" w:rsidRPr="009439F4" w:rsidRDefault="009439F4" w:rsidP="009439F4">
      <w:pPr>
        <w:pStyle w:val="BodyCopy"/>
        <w:numPr>
          <w:ilvl w:val="0"/>
          <w:numId w:val="2"/>
        </w:numPr>
      </w:pPr>
      <w:r w:rsidRPr="009439F4">
        <w:rPr>
          <w:b/>
          <w:bCs/>
        </w:rPr>
        <w:t>Stigma and disclosure barriers</w:t>
      </w:r>
      <w:r w:rsidRPr="009439F4">
        <w:br/>
        <w:t>Both sources identified fear of stigma as a significant barrier to disclosure and accommodation requests (Lindsay et al., 2019; Abney et al., 2022). Koudinov’s analysis, along with earlier work by Bruyère et al. (2000), documented persistent negative attitudes and low disability confidence among managers and co-workers.</w:t>
      </w:r>
    </w:p>
    <w:p w14:paraId="7DB8D6B5" w14:textId="5DE09D24" w:rsidR="009439F4" w:rsidRPr="009439F4" w:rsidRDefault="009439F4" w:rsidP="009439F4">
      <w:pPr>
        <w:pStyle w:val="BodyCopy"/>
        <w:numPr>
          <w:ilvl w:val="0"/>
          <w:numId w:val="2"/>
        </w:numPr>
      </w:pPr>
      <w:r w:rsidRPr="009439F4">
        <w:rPr>
          <w:b/>
          <w:bCs/>
        </w:rPr>
        <w:lastRenderedPageBreak/>
        <w:t>Responsibility gaps within organizations</w:t>
      </w:r>
      <w:r w:rsidRPr="009439F4">
        <w:br/>
        <w:t>The internship research noted that responsibility for disability compliance often falls disproportionately on human resources departments (Bruyère et al., 2000), with many accessibility-related tasks handled informally by a small number of individuals. BHER’s findings similarly emphasized the need to embed accessibility across roles and highlighted organizations that established accountability structures such as executive champions or cross-functional task forces (Mullin et al., 2021).</w:t>
      </w:r>
    </w:p>
    <w:p w14:paraId="3711CA7A" w14:textId="14B6C1E6" w:rsidR="009439F4" w:rsidRPr="009439F4" w:rsidRDefault="009439F4" w:rsidP="009439F4">
      <w:pPr>
        <w:pStyle w:val="BodyCopy"/>
        <w:numPr>
          <w:ilvl w:val="0"/>
          <w:numId w:val="2"/>
        </w:numPr>
      </w:pPr>
      <w:r w:rsidRPr="009439F4">
        <w:rPr>
          <w:b/>
          <w:bCs/>
        </w:rPr>
        <w:t>Employment life-cycle approach</w:t>
      </w:r>
      <w:r w:rsidRPr="009439F4">
        <w:br/>
        <w:t>The internship literature review made extensive use of the employment life-cycle framework, drawing on the new Canadian accessibility standard (</w:t>
      </w:r>
      <w:r w:rsidR="00D1042C">
        <w:t>ASC</w:t>
      </w:r>
      <w:r w:rsidRPr="009439F4">
        <w:t>, 2024), which outlines accessibility requirements at each stage of employment. This approach helped identify where specific competencies are required, including recruitment, onboarding, and retention.</w:t>
      </w:r>
    </w:p>
    <w:p w14:paraId="40917360" w14:textId="55BB4C57" w:rsidR="009439F4" w:rsidRPr="009439F4" w:rsidRDefault="009439F4" w:rsidP="009439F4">
      <w:pPr>
        <w:pStyle w:val="BodyCopy"/>
        <w:numPr>
          <w:ilvl w:val="0"/>
          <w:numId w:val="2"/>
        </w:numPr>
      </w:pPr>
      <w:r w:rsidRPr="009439F4">
        <w:rPr>
          <w:b/>
          <w:bCs/>
        </w:rPr>
        <w:t>Workplace training practices</w:t>
      </w:r>
      <w:r w:rsidRPr="009439F4">
        <w:br/>
        <w:t>BHER’s literature review examined workplace training initiatives and identified common limitations, including reliance on one-off training and a lack of evaluation (Phillips et al., 2016; Findler et al., 2007). It also summarized evidence-based recommendations for effective training, such as tailoring content to organizational context, engaging leadership, and offering training on an ongoing basis (Chavez &amp; Weisinger, 2008; Lindsay et al., 2020; Mullin et al., 2021).</w:t>
      </w:r>
    </w:p>
    <w:p w14:paraId="2704078A" w14:textId="0D6C7FD3" w:rsidR="009439F4" w:rsidRPr="009439F4" w:rsidRDefault="009439F4" w:rsidP="009439F4">
      <w:pPr>
        <w:pStyle w:val="BodyCopy"/>
        <w:numPr>
          <w:ilvl w:val="0"/>
          <w:numId w:val="2"/>
        </w:numPr>
      </w:pPr>
      <w:r w:rsidRPr="009439F4">
        <w:rPr>
          <w:b/>
          <w:bCs/>
        </w:rPr>
        <w:t>Impact of organizational size and resources</w:t>
      </w:r>
      <w:r w:rsidRPr="009439F4">
        <w:br/>
        <w:t xml:space="preserve">The internship review highlighted differences between large and small employers, noting that larger organizations are more likely to have formal disability programs and higher rates of hiring persons with disabilities (Bruyère et al., 2006; Kennedy &amp; Olney, 2001). </w:t>
      </w:r>
      <w:r w:rsidRPr="009439F4">
        <w:lastRenderedPageBreak/>
        <w:t>BHER’s environmental scan similarly found that leading practices were more common in organizations with greater resources.</w:t>
      </w:r>
    </w:p>
    <w:p w14:paraId="60A1EE8E" w14:textId="16706971" w:rsidR="009439F4" w:rsidRPr="009439F4" w:rsidRDefault="009439F4" w:rsidP="009439F4">
      <w:pPr>
        <w:pStyle w:val="BodyCopy"/>
        <w:numPr>
          <w:ilvl w:val="0"/>
          <w:numId w:val="2"/>
        </w:numPr>
      </w:pPr>
      <w:r w:rsidRPr="009439F4">
        <w:rPr>
          <w:b/>
          <w:bCs/>
        </w:rPr>
        <w:t>Return-to-work and disability management programs</w:t>
      </w:r>
      <w:r w:rsidRPr="009439F4">
        <w:br/>
        <w:t>The internship literature review identified return-to-work and disability management programs as effective mechanisms for improving supervisor support and creating structured, consistent approaches to disability inclusion (McGuire et al., 2017; Williams-Whitt et al., 2016). These programs illustrate a shift from ad hoc responses to more systematic practices.</w:t>
      </w:r>
    </w:p>
    <w:p w14:paraId="3F49AAFB" w14:textId="7189D8D5" w:rsidR="009439F4" w:rsidRPr="009439F4" w:rsidRDefault="009439F4" w:rsidP="009439F4">
      <w:pPr>
        <w:pStyle w:val="BodyCopy"/>
        <w:numPr>
          <w:ilvl w:val="0"/>
          <w:numId w:val="2"/>
        </w:numPr>
      </w:pPr>
      <w:r w:rsidRPr="009439F4">
        <w:rPr>
          <w:b/>
          <w:bCs/>
        </w:rPr>
        <w:t>Effective practices across nine domains</w:t>
      </w:r>
      <w:r w:rsidRPr="009439F4">
        <w:br/>
        <w:t>BHER synthesized nine key domains of effective practice, including policies, partnerships, technology, communication, training, collaboration, feedback, audits, and public awareness. The internship scan provided concrete examples within these domains, such as the Rick Hansen Foundation’s accessibility certification program under audits and assessments. This integrated review draws on those examples to illustrate how each domain is operationalized in practice.</w:t>
      </w:r>
    </w:p>
    <w:p w14:paraId="08314085" w14:textId="505059D7" w:rsidR="009439F4" w:rsidRPr="009439F4" w:rsidRDefault="009439F4" w:rsidP="009439F4">
      <w:pPr>
        <w:pStyle w:val="BodyCopy"/>
        <w:numPr>
          <w:ilvl w:val="0"/>
          <w:numId w:val="2"/>
        </w:numPr>
      </w:pPr>
      <w:r w:rsidRPr="009439F4">
        <w:rPr>
          <w:b/>
          <w:bCs/>
        </w:rPr>
        <w:t>Evidence gaps and need for primary research</w:t>
      </w:r>
      <w:r w:rsidRPr="009439F4">
        <w:br/>
        <w:t>Both sources identified a lack of rigorous evaluation of existing accessibility initiatives (Harris et al., 2014; Phillips et al., 2016). BHER explicitly recommended that the next phase of the project involve primary research to assess the quality and outcomes of current accessibility training and competence-building efforts.</w:t>
      </w:r>
    </w:p>
    <w:p w14:paraId="382945B7" w14:textId="77777777" w:rsidR="00CE7E6C" w:rsidRDefault="00CE7E6C" w:rsidP="00CE7E6C">
      <w:pPr>
        <w:pStyle w:val="BodyCopy"/>
      </w:pPr>
    </w:p>
    <w:p w14:paraId="104230A4" w14:textId="189D12C2" w:rsidR="00D9573D" w:rsidRDefault="00B9127B" w:rsidP="00E01C62">
      <w:pPr>
        <w:pStyle w:val="Heading4"/>
        <w:spacing w:before="240"/>
      </w:pPr>
      <w:r w:rsidRPr="00B9127B">
        <w:t>Highlights from the Canadian training and education inventory</w:t>
      </w:r>
    </w:p>
    <w:p w14:paraId="21462EC7" w14:textId="5BC784E5" w:rsidR="00B9127B" w:rsidRPr="00B9127B" w:rsidRDefault="00B9127B" w:rsidP="00D9573D">
      <w:pPr>
        <w:pStyle w:val="BodyCopy"/>
      </w:pPr>
      <w:r w:rsidRPr="00B9127B">
        <w:t>The following points summarize key observations from the internal inventory of accessibility training services in Canada</w:t>
      </w:r>
      <w:r w:rsidR="00285A35">
        <w:t xml:space="preserve">, </w:t>
      </w:r>
      <w:r w:rsidRPr="00B9127B">
        <w:t>which catalogued dozens of offerings by various providers (public, private, and non-profit). This provides context on what types of training are commonly available:</w:t>
      </w:r>
    </w:p>
    <w:p w14:paraId="1C7D4583" w14:textId="46558FDB" w:rsidR="00B9127B" w:rsidRPr="00B9127B" w:rsidRDefault="00B9127B" w:rsidP="008F4B3F">
      <w:pPr>
        <w:pStyle w:val="BodyCopy"/>
        <w:numPr>
          <w:ilvl w:val="0"/>
          <w:numId w:val="3"/>
        </w:numPr>
      </w:pPr>
      <w:r w:rsidRPr="00B9127B">
        <w:rPr>
          <w:b/>
          <w:bCs/>
        </w:rPr>
        <w:lastRenderedPageBreak/>
        <w:t>Regulatory compliance modules:</w:t>
      </w:r>
      <w:r w:rsidRPr="00B9127B">
        <w:t xml:space="preserve"> Many offerings are tied to specific legislation. For example, the Ontario government’s </w:t>
      </w:r>
      <w:r w:rsidRPr="00B9127B">
        <w:rPr>
          <w:i/>
          <w:iCs/>
        </w:rPr>
        <w:t>AccessForward</w:t>
      </w:r>
      <w:r w:rsidRPr="00B9127B">
        <w:t xml:space="preserve"> e-learning series covers each AODA standard (customer service, employment, information and communication, etc.) in short modules (typically 10–30 minutes each) and is available free of charge. Manitoba offers similar free online courses on the requirements of the </w:t>
      </w:r>
      <w:r w:rsidRPr="00B9127B">
        <w:rPr>
          <w:i/>
          <w:iCs/>
        </w:rPr>
        <w:t>Accessibility for Manitobans Act</w:t>
      </w:r>
      <w:r w:rsidRPr="00B9127B">
        <w:t xml:space="preserve">, such as training for the </w:t>
      </w:r>
      <w:r w:rsidRPr="00B9127B">
        <w:rPr>
          <w:i/>
          <w:iCs/>
        </w:rPr>
        <w:t>Employment Standard</w:t>
      </w:r>
      <w:r w:rsidRPr="00B9127B">
        <w:t xml:space="preserve"> and </w:t>
      </w:r>
      <w:r w:rsidRPr="00B9127B">
        <w:rPr>
          <w:i/>
          <w:iCs/>
        </w:rPr>
        <w:t>Customer Service Standard</w:t>
      </w:r>
      <w:r w:rsidRPr="00B9127B">
        <w:t xml:space="preserve"> (Manitoba Accessibility Office, n.d.). These modules are mostly basic overviews designed to help organizations meet mandatory training requirements. Their focus is on understanding the provisions of the law and how to interact with the public or customers with disabilities. </w:t>
      </w:r>
    </w:p>
    <w:p w14:paraId="0CE0756E" w14:textId="79E4EDB4" w:rsidR="00B9127B" w:rsidRPr="00B9127B" w:rsidRDefault="00B9127B" w:rsidP="008F4B3F">
      <w:pPr>
        <w:pStyle w:val="BodyCopy"/>
        <w:numPr>
          <w:ilvl w:val="0"/>
          <w:numId w:val="3"/>
        </w:numPr>
      </w:pPr>
      <w:r w:rsidRPr="00B9127B">
        <w:rPr>
          <w:b/>
          <w:bCs/>
        </w:rPr>
        <w:t>General disability awareness training:</w:t>
      </w:r>
      <w:r w:rsidRPr="00B9127B">
        <w:t xml:space="preserve"> A number of organizations (e.g., provincial disability nonprofits and private consultancies) offer short workshops or webinars on topics like </w:t>
      </w:r>
      <w:r w:rsidRPr="00B9127B">
        <w:rPr>
          <w:i/>
          <w:iCs/>
        </w:rPr>
        <w:t>“Disability 101”</w:t>
      </w:r>
      <w:r w:rsidRPr="00B9127B">
        <w:t xml:space="preserve"> or </w:t>
      </w:r>
      <w:r w:rsidRPr="00B9127B">
        <w:rPr>
          <w:i/>
          <w:iCs/>
        </w:rPr>
        <w:t>“Creating an Inclusive Workplace.”</w:t>
      </w:r>
      <w:r w:rsidRPr="00B9127B">
        <w:t xml:space="preserve"> These typically cover types of disabilities, barriers people may face, proper disability etiquette and communication tips, and an overview of employers’ legal obligations. </w:t>
      </w:r>
      <w:r w:rsidRPr="007D61B4">
        <w:t xml:space="preserve">For instance, </w:t>
      </w:r>
      <w:r w:rsidRPr="007D61B4">
        <w:rPr>
          <w:i/>
          <w:iCs/>
        </w:rPr>
        <w:t>Accessibility Services Canada</w:t>
      </w:r>
      <w:r w:rsidRPr="007D61B4">
        <w:t xml:space="preserve"> offers an introductory Accessibility Awareness</w:t>
      </w:r>
      <w:r w:rsidRPr="00B9127B">
        <w:t xml:space="preserve"> course covering different disability types, barriers, and best practices for customer service, employment, and communications. Such training is often delivered as a one-hour webinar or a series of brief modules, sometimes with a certificate of completion. They are generally targeted at a broad audience (all staff or the general public) and aim to build empathy and basic understanding rather than technical skills</w:t>
      </w:r>
      <w:r w:rsidR="00D2039D">
        <w:t>.</w:t>
      </w:r>
    </w:p>
    <w:p w14:paraId="1A05B157" w14:textId="36D949C3" w:rsidR="00B9127B" w:rsidRPr="00B9127B" w:rsidRDefault="00B9127B" w:rsidP="008F4B3F">
      <w:pPr>
        <w:pStyle w:val="BodyCopy"/>
        <w:numPr>
          <w:ilvl w:val="0"/>
          <w:numId w:val="3"/>
        </w:numPr>
      </w:pPr>
      <w:r w:rsidRPr="00B9127B">
        <w:rPr>
          <w:b/>
          <w:bCs/>
        </w:rPr>
        <w:t>Skill-specific training (digital and communication skills):</w:t>
      </w:r>
      <w:r w:rsidRPr="00B9127B">
        <w:t xml:space="preserve"> The inventory shows a substantial market for training in </w:t>
      </w:r>
      <w:r w:rsidRPr="007D61B4">
        <w:t>accessible documents and digital content. Several organizations provide courses on making PDFs, Word documents, Excel spreadsheets, and PowerPoints accessible to people using screen readers or</w:t>
      </w:r>
      <w:r w:rsidRPr="00B9127B">
        <w:t xml:space="preserve"> other </w:t>
      </w:r>
      <w:r w:rsidRPr="00B9127B">
        <w:lastRenderedPageBreak/>
        <w:t xml:space="preserve">assistive tech. There are also specialized offerings on </w:t>
      </w:r>
      <w:r w:rsidRPr="00B9127B">
        <w:rPr>
          <w:i/>
          <w:iCs/>
        </w:rPr>
        <w:t>web accessibility auditing</w:t>
      </w:r>
      <w:r w:rsidRPr="00B9127B">
        <w:t xml:space="preserve"> using the Web Content Accessibility Guidelines (WCAG). These courses tend to be somewhat longer (e.g., 1–3 hour webinars or multi-week courses) and are often aimed at specific job roles like IT professionals, content creators, or compliance officers. They fill an important need for technical competency in accessibility. However, they largely address </w:t>
      </w:r>
      <w:r w:rsidRPr="007D61B4">
        <w:t>technical standards (e</w:t>
      </w:r>
      <w:r w:rsidRPr="00B9127B">
        <w:t xml:space="preserve">.g., how to add ALT text to images or ensure color contrast), which is only one aspect of overall accessibility competence. </w:t>
      </w:r>
    </w:p>
    <w:p w14:paraId="677108CE" w14:textId="48EF80D3" w:rsidR="00B9127B" w:rsidRPr="00B9127B" w:rsidRDefault="00B9127B" w:rsidP="008F4B3F">
      <w:pPr>
        <w:pStyle w:val="BodyCopy"/>
        <w:numPr>
          <w:ilvl w:val="0"/>
          <w:numId w:val="3"/>
        </w:numPr>
      </w:pPr>
      <w:r w:rsidRPr="00B9127B">
        <w:rPr>
          <w:b/>
          <w:bCs/>
        </w:rPr>
        <w:t>Leadership and HR-focused training:</w:t>
      </w:r>
      <w:r w:rsidRPr="00B9127B">
        <w:t xml:space="preserve"> A smaller number of programs target management-level competencies. For example, some providers offer “Accessible Leadership” or “Accessibility for People Leaders” workshops, which emphasize the role of supervisors and executives in fostering an inclusive culture and implementing accommodations effectively. The </w:t>
      </w:r>
      <w:r w:rsidRPr="00B9127B">
        <w:rPr>
          <w:i/>
          <w:iCs/>
        </w:rPr>
        <w:t>Changing Paces</w:t>
      </w:r>
      <w:r w:rsidRPr="00B9127B">
        <w:t xml:space="preserve"> consultancy in Ontario has a three-</w:t>
      </w:r>
      <w:r w:rsidRPr="007D61B4">
        <w:t>hour Accessible Customer Service course for staff, a shorter Management Training module on accessibility regulations, and even a two-day Train the Trainer program to equip internal instructors so that organizations can train their own teams. These kinds of programs acknowledge that different</w:t>
      </w:r>
      <w:r w:rsidRPr="00B9127B">
        <w:t xml:space="preserve"> tiers of staff require different knowledge – for instance, managers might need to learn how to create an inclusive team climate, how to discuss disability accommodations with employees, or how to incorporate accessibility into strategic planning. However, such management-focused trainings are not yet widespread, and many Canadian managers report learning to deal with disability issues through trial and error rather than formal education (Williams-Whitt et al., 2016). </w:t>
      </w:r>
    </w:p>
    <w:p w14:paraId="766BBB7F" w14:textId="77777777" w:rsidR="00B9127B" w:rsidRPr="00B9127B" w:rsidRDefault="00B9127B" w:rsidP="008F4B3F">
      <w:pPr>
        <w:pStyle w:val="BodyCopy"/>
        <w:numPr>
          <w:ilvl w:val="0"/>
          <w:numId w:val="3"/>
        </w:numPr>
      </w:pPr>
      <w:r w:rsidRPr="00B9127B">
        <w:rPr>
          <w:b/>
          <w:bCs/>
        </w:rPr>
        <w:t>Geographical and sectoral differences:</w:t>
      </w:r>
      <w:r w:rsidRPr="00B9127B">
        <w:t xml:space="preserve"> Because of Canada’s provincial legislative patchwork, training resources also vary by region. Ontario has the most extensive ecosystem of accessibility training, driven by the AODA’s requirements. Provinces like Manitoba </w:t>
      </w:r>
      <w:r w:rsidRPr="00B9127B">
        <w:lastRenderedPageBreak/>
        <w:t>and Nova Scotia, which enacted their own accessibility laws in the last decade, have begun to develop resources (e.g., Manitoba Possible’s workshops on inclusive hiring, Nova Scotia’s employer guides on accommodating disabilities), but these are not yet as widely utilized. In provinces without specific accessibility legislation (or outside the public sector), the scan found fewer standardized training options, suggesting that many employers in those regions rely on generic diversity training or ad hoc resources. In the United States, there is no state-mandated accessibility training (beyond federal contractor requirements), so most training is voluntary. Large U.S. companies often develop their own internal disability inclusion programs (frequently as part of broader diversity initiatives), while smaller employers may turn to resources like the Job Accommodation Network (JAN) or EARN for guidance (Bruyère et al., 2006). This points to an equity issue</w:t>
      </w:r>
      <w:r w:rsidRPr="007D61B4">
        <w:t>: in the absence of strong regulations or incentives, the level of accessibility competence development may depend on an organization’s size, resources, or voluntary leadership commitment.</w:t>
      </w:r>
      <w:r w:rsidRPr="00B9127B">
        <w:t xml:space="preserve"> Many of the leading practices identified are concentrated in larger organizations that have dedicated diversity/inclusion budgets or that have been publicly recognized as accessibility champions.</w:t>
      </w:r>
    </w:p>
    <w:p w14:paraId="5EEBCCF6" w14:textId="77777777" w:rsidR="00D95CA0" w:rsidRDefault="00B9127B" w:rsidP="004A38EA">
      <w:pPr>
        <w:pStyle w:val="Heading4"/>
      </w:pPr>
      <w:r w:rsidRPr="00B9127B">
        <w:t>Evidence of gaps and needs</w:t>
      </w:r>
    </w:p>
    <w:p w14:paraId="1E04F039" w14:textId="5AF13701" w:rsidR="00B9127B" w:rsidRPr="00B9127B" w:rsidRDefault="00B9127B" w:rsidP="00D95CA0">
      <w:pPr>
        <w:pStyle w:val="BodyCopy"/>
      </w:pPr>
      <w:r w:rsidRPr="00B9127B">
        <w:t>The integrated evidence base makes clear that while awareness of accessibility is growing, there remain significant gaps in execution. Both the literature and the real-world scan highlight the following needs, which directly inform the next steps of this project:</w:t>
      </w:r>
    </w:p>
    <w:p w14:paraId="3E808290" w14:textId="06F70E52" w:rsidR="00B9127B" w:rsidRPr="00B9127B" w:rsidRDefault="00B9127B" w:rsidP="008F4B3F">
      <w:pPr>
        <w:pStyle w:val="BodyCopy"/>
        <w:numPr>
          <w:ilvl w:val="0"/>
          <w:numId w:val="4"/>
        </w:numPr>
      </w:pPr>
      <w:r w:rsidRPr="00B9127B">
        <w:rPr>
          <w:b/>
          <w:bCs/>
        </w:rPr>
        <w:t>Evaluation and outcome data:</w:t>
      </w:r>
      <w:r w:rsidRPr="00B9127B">
        <w:t xml:space="preserve"> There is a lack of rigorous data on the effectiveness of existing training and accessibility initiatives. For example, Phillips et al. (2016) found few evaluations of disability-focused training programs in the literature. BHER’s report concluded </w:t>
      </w:r>
      <w:r w:rsidRPr="00B9127B">
        <w:lastRenderedPageBreak/>
        <w:t>that despite many available training programs and some positive case studies, it is often unknown which approaches lead to measurable improvements in organizational practices or employee outcomes. This gap underlines the importance of conducting primary research (such as interviews, surveys, or case studies within organizations) to evaluate current practices – a task planned for Phase 2 of the CNIB project.</w:t>
      </w:r>
    </w:p>
    <w:p w14:paraId="631DAF91" w14:textId="77777777" w:rsidR="00B9127B" w:rsidRPr="00B9127B" w:rsidRDefault="00B9127B" w:rsidP="008F4B3F">
      <w:pPr>
        <w:pStyle w:val="BodyCopy"/>
        <w:numPr>
          <w:ilvl w:val="0"/>
          <w:numId w:val="4"/>
        </w:numPr>
      </w:pPr>
      <w:r w:rsidRPr="00B9127B">
        <w:rPr>
          <w:b/>
          <w:bCs/>
        </w:rPr>
        <w:t>Integrated, multi-faceted strategies:</w:t>
      </w:r>
      <w:r w:rsidRPr="00B9127B">
        <w:t xml:space="preserve"> Successful examples typically involve multiple coordinated actions (policy, training, technology, feedback loops, etc.). However, many organizations pick up just one or two pieces (for instance, rolling out a training program or buying accessible software) without aligning them with broader changes. The literature suggests that piecemeal efforts have limited impact if, for instance, training is not reinforced by policy and accountability (Chavez &amp; Weisinger, 2008; Mullin et al., 2021). The implication is that toolkits or frameworks (such as the one being developed by CNIB) should encourage a holistic approach – one that addresses knowledge, skills, organizational culture, and systems together.</w:t>
      </w:r>
    </w:p>
    <w:p w14:paraId="04E5450A" w14:textId="5AE60307" w:rsidR="00B9127B" w:rsidRPr="00B9127B" w:rsidRDefault="00B9127B" w:rsidP="008F4B3F">
      <w:pPr>
        <w:pStyle w:val="BodyCopy"/>
        <w:numPr>
          <w:ilvl w:val="0"/>
          <w:numId w:val="4"/>
        </w:numPr>
      </w:pPr>
      <w:r w:rsidRPr="00B9127B">
        <w:rPr>
          <w:b/>
          <w:bCs/>
        </w:rPr>
        <w:t>Leadership and accountability:</w:t>
      </w:r>
      <w:r w:rsidRPr="00B9127B">
        <w:t xml:space="preserve"> Many sources agree that top management engagement is crucial for sustainable change (Mullin et al., 2021; Blackett, 2023). In the environmental scan, few organizations outside of some large companies had explicit executive sponsorship of accessibility initiatives. Building accessibility competence may require formal roles or committees at the leadership level (e.g., an accessibility champion in the C-suite or a cross-departmental steering committee) to drive progress. This need is reinforced by the literature on organizational change, which finds that without leadership pressure and role modeling, diversity and inclusion efforts tend to stall (Mullin et al., 2021).</w:t>
      </w:r>
    </w:p>
    <w:p w14:paraId="6A9651AB" w14:textId="77777777" w:rsidR="00B9127B" w:rsidRPr="00B9127B" w:rsidRDefault="00B9127B" w:rsidP="008F4B3F">
      <w:pPr>
        <w:pStyle w:val="BodyCopy"/>
        <w:numPr>
          <w:ilvl w:val="0"/>
          <w:numId w:val="4"/>
        </w:numPr>
      </w:pPr>
      <w:r w:rsidRPr="00B9127B">
        <w:rPr>
          <w:b/>
          <w:bCs/>
        </w:rPr>
        <w:lastRenderedPageBreak/>
        <w:t>Empowering internal champions and persons with disabilities:</w:t>
      </w:r>
      <w:r w:rsidRPr="00B9127B">
        <w:t xml:space="preserve"> Both research streams emphasize involving employees with disabilities in planning and decision-making. This ranges from consulting staff for feedback (as many leading organizations do through surveys or resource groups) to co-designing solutions with people who have lived experience. Although the literature on co-design in workplaces is still emerging, it aligns with the principle of “Nothing About Us Without Us” and is reflected in CNIB’s approach to this project. Ensuring that employees with disabilities are not just passive recipients of training but active contributors to organizational learning is itself a competency – one that can improve relevance and credibility of initiatives (Frauenberger et al., 2020; Charlton, 1998).</w:t>
      </w:r>
    </w:p>
    <w:p w14:paraId="0ECB565D" w14:textId="77777777" w:rsidR="00D95CA0" w:rsidRDefault="00B9127B" w:rsidP="00D95CA0">
      <w:pPr>
        <w:pStyle w:val="BodyCopy"/>
        <w:sectPr w:rsidR="00D95CA0" w:rsidSect="009F7FEB">
          <w:pgSz w:w="12240" w:h="15840"/>
          <w:pgMar w:top="1728" w:right="1440" w:bottom="1080" w:left="1440" w:header="709" w:footer="317" w:gutter="0"/>
          <w:cols w:space="708"/>
          <w:docGrid w:linePitch="360"/>
        </w:sectPr>
      </w:pPr>
      <w:r w:rsidRPr="00B9127B">
        <w:t>The combined findings from the literature review and environmental scan underscore that advancing accessibility in employment is a complex, multi-dimensional challenge. There is no single solution: progress depends on raising awareness and knowledge, changing attitudes and cultures, implementing better policies and systems, and continuously measuring and improving practices. The following reference list compiles the sources from the underlying research by Katerina Koudinov and BHER that were cited in this integrated review. These works provide further detail and evidence for the statements and examples summarized above.</w:t>
      </w:r>
    </w:p>
    <w:p w14:paraId="00BD7803" w14:textId="6E40ABB5" w:rsidR="003F4CC1" w:rsidRPr="003F4CC1" w:rsidRDefault="007236A0" w:rsidP="003F4CC1">
      <w:pPr>
        <w:pStyle w:val="Heading2"/>
        <w:rPr>
          <w:rFonts w:eastAsia="Times New Roman"/>
        </w:rPr>
      </w:pPr>
      <w:bookmarkStart w:id="21" w:name="_Toc243923406"/>
      <w:r>
        <w:rPr>
          <w:rFonts w:eastAsia="Times New Roman"/>
        </w:rPr>
        <w:lastRenderedPageBreak/>
        <w:t xml:space="preserve">Chapter 3. </w:t>
      </w:r>
      <w:r w:rsidR="003F4CC1" w:rsidRPr="003F4CC1">
        <w:rPr>
          <w:rFonts w:eastAsia="Times New Roman"/>
        </w:rPr>
        <w:t>Organizational Signaling and Accessibility Commitments: Findings from the IDEA Audit</w:t>
      </w:r>
      <w:bookmarkEnd w:id="21"/>
    </w:p>
    <w:p w14:paraId="4751D1BA" w14:textId="33D6E946" w:rsidR="00556FAB" w:rsidRPr="00556FAB" w:rsidRDefault="00556FAB" w:rsidP="00CB40B5">
      <w:pPr>
        <w:pStyle w:val="Heading3"/>
      </w:pPr>
      <w:bookmarkStart w:id="22" w:name="_Toc243923407"/>
      <w:r w:rsidRPr="00556FAB">
        <w:t>Project Context and Partnerships</w:t>
      </w:r>
      <w:bookmarkEnd w:id="22"/>
    </w:p>
    <w:p w14:paraId="28E7AFDA" w14:textId="7AB48E69" w:rsidR="00556FAB" w:rsidRPr="0031498F" w:rsidRDefault="00556FAB" w:rsidP="0031498F">
      <w:pPr>
        <w:pStyle w:val="BodyCopy"/>
      </w:pPr>
      <w:r w:rsidRPr="0031498F">
        <w:t>This audit study was conducted under the auspices of the Inclusive Design for Employment Access (IDEA) Social Innovation Lab, also known by its bilingual acronym VRAIE-IDEA (Vision Rehabilitation – Accessibilité, Inclusion et Emploi). The IDEA initiative is organized into multiple hubs and activity areas, each addressing different dimensions of inclusion and accessibility in society. The present audit falls within Hub 4: Inclusive Environmental Design, which focuses on implementing inclusion, diversity, equity, and accessibility (IDEA) in workplaces from an inclusive design perspective, spanning organizational policies and values, workplace culture, digital platforms, and the built environment. This collaborative hub is part of a broader research and innovation partnership aimed at identifying best practices and gaps in how organizations support accessibility and inclusion in employment contexts.</w:t>
      </w:r>
    </w:p>
    <w:p w14:paraId="5B520B85" w14:textId="27822949" w:rsidR="00556FAB" w:rsidRPr="00556FAB" w:rsidRDefault="00556FAB" w:rsidP="00556FAB">
      <w:pPr>
        <w:pStyle w:val="BodyCopy"/>
      </w:pPr>
      <w:r w:rsidRPr="00556FAB">
        <w:t>The IDEA Social Innovation Lab, including Hub 4, is supported by the Government of Canada’s New Frontiers in Research Fund (NFRF), which funds high-impact interdisciplinary research and innovation. The Hub 4 project team includes researchers and practitioners from the Canadian National Institute for the Blind (CNIB) and academic partners. In particular, CNIB collaborated with the University at Buffalo Center for Inclusive Design and Environmental Access (IDEA Center) to develop and refine the audit methodology and tools used in this study. The Hub 4 team</w:t>
      </w:r>
      <w:r w:rsidR="00B82BB5">
        <w:t xml:space="preserve">, </w:t>
      </w:r>
      <w:r w:rsidRPr="00556FAB">
        <w:t>comprising members from CNIB, University of Buffalo, and other partner organizations</w:t>
      </w:r>
      <w:r w:rsidR="008C79EC">
        <w:t>,</w:t>
      </w:r>
      <w:r w:rsidRPr="00556FAB">
        <w:t xml:space="preserve"> provided the research context, drawing on emerging inclusive design </w:t>
      </w:r>
      <w:r w:rsidRPr="00556FAB">
        <w:lastRenderedPageBreak/>
        <w:t xml:space="preserve">frameworks and best practices to shape the approach. This collaboration ensured that the audit was grounded in up-to-date expertise on how to measure organizational commitments to IDEA principles, especially the </w:t>
      </w:r>
      <w:r w:rsidR="008C79EC" w:rsidRPr="00556FAB">
        <w:t>often-under-</w:t>
      </w:r>
      <w:r w:rsidRPr="00556FAB">
        <w:t xml:space="preserve">emphasized domain of accessibility. </w:t>
      </w:r>
    </w:p>
    <w:p w14:paraId="7590D889" w14:textId="2D5AC34E" w:rsidR="00556FAB" w:rsidRPr="00556FAB" w:rsidRDefault="00556FAB" w:rsidP="00CB40B5">
      <w:pPr>
        <w:pStyle w:val="Heading3"/>
      </w:pPr>
      <w:bookmarkStart w:id="23" w:name="_Toc243923408"/>
      <w:r w:rsidRPr="00556FAB">
        <w:t>Audit Tool Development Overview</w:t>
      </w:r>
      <w:bookmarkEnd w:id="23"/>
    </w:p>
    <w:p w14:paraId="50CFFD33" w14:textId="6B4ECE58" w:rsidR="00556FAB" w:rsidRPr="00556FAB" w:rsidRDefault="00556FAB" w:rsidP="00556FAB">
      <w:pPr>
        <w:pStyle w:val="BodyCopy"/>
      </w:pPr>
      <w:r w:rsidRPr="00556FAB">
        <w:t>The IDEA Audit Tool used for this study was developed through a rigorous, iterative process of research and expert consultation. Based on an unpublished methodology report by the Hub 4 team (Choi</w:t>
      </w:r>
      <w:r w:rsidR="008C79EC">
        <w:t xml:space="preserve"> et al.</w:t>
      </w:r>
      <w:r w:rsidRPr="00556FAB">
        <w:t xml:space="preserve">, 2023), the tool’s development began with a comprehensive search and review of existing diversity, equity, inclusion, and accessibility assessment instruments. The research team identified an initial pool of 32 relevant audit tools from academic literature and practitioner resources. Through a systematic selection and consolidation process, these were narrowed to 12 tools that best covered multiple IDEA dimensions. The most robust elements of those instruments were synthesized to create a single comprehensive audit framework containing 23 questions and associated sub-questions. The final IDEA audit tool was designed to assess organizational practices and policies across four key domains: Organizational Values, Organizational Culture, the Built Environment, and Digital Platforms. These domains align with the focus of Hub 4 on infusing inclusion and accessibility into both the cultural and physical infrastructure of workplaces. </w:t>
      </w:r>
    </w:p>
    <w:p w14:paraId="56316A10" w14:textId="17D53BE5" w:rsidR="00556FAB" w:rsidRPr="00556FAB" w:rsidRDefault="00556FAB" w:rsidP="00556FAB">
      <w:pPr>
        <w:pStyle w:val="BodyCopy"/>
      </w:pPr>
      <w:r w:rsidRPr="00556FAB">
        <w:t xml:space="preserve">The audit questions span a range of topics, from high-level policy commitments (e.g., existence of diversity/equity policies and whether they mention accessibility) to specific practices (such as providing employee accommodations or establishing complaint mechanisms). Special attention was paid to including measures of accessibility alongside more traditional diversity and inclusion indicators, reflecting the inclusive design paradigm that views accessibility as an integral part of an organization’s inclusivity. CNIB and University at Buffalo researchers worked together to ensure the </w:t>
      </w:r>
      <w:r w:rsidRPr="00556FAB">
        <w:lastRenderedPageBreak/>
        <w:t xml:space="preserve">tool captured not only </w:t>
      </w:r>
      <w:r w:rsidR="006C1E0C">
        <w:t>“</w:t>
      </w:r>
      <w:r w:rsidRPr="00556FAB">
        <w:t>whether</w:t>
      </w:r>
      <w:r w:rsidR="006C1E0C">
        <w:t>”</w:t>
      </w:r>
      <w:r w:rsidRPr="00556FAB">
        <w:t xml:space="preserve"> organizations have certain policies or programs, but also </w:t>
      </w:r>
      <w:r w:rsidR="006C1E0C">
        <w:t>“</w:t>
      </w:r>
      <w:r w:rsidRPr="00556FAB">
        <w:t>how</w:t>
      </w:r>
      <w:r w:rsidR="006C1E0C">
        <w:t>”</w:t>
      </w:r>
      <w:r w:rsidRPr="00556FAB">
        <w:t xml:space="preserve"> comprehensively they address accessibility compared to other IDEA components. The result was a novel auditing instrument tailored to public-facing materials, intended to gauge the signals of commitment organizations send regarding their dedication to diversity, equity, inclusion, and accessibility. </w:t>
      </w:r>
    </w:p>
    <w:p w14:paraId="72F7FFBD" w14:textId="2028DDA3" w:rsidR="00556FAB" w:rsidRPr="00556FAB" w:rsidRDefault="00556FAB" w:rsidP="00CB40B5">
      <w:pPr>
        <w:pStyle w:val="Heading3"/>
      </w:pPr>
      <w:bookmarkStart w:id="24" w:name="_Toc243923409"/>
      <w:r w:rsidRPr="00556FAB">
        <w:t>Data Collection and Audit Procedures</w:t>
      </w:r>
      <w:bookmarkEnd w:id="24"/>
    </w:p>
    <w:p w14:paraId="2F1AF7BD" w14:textId="43A94781" w:rsidR="00556FAB" w:rsidRPr="00556FAB" w:rsidRDefault="00556FAB" w:rsidP="00556FAB">
      <w:pPr>
        <w:pStyle w:val="BodyCopy"/>
      </w:pPr>
      <w:r w:rsidRPr="00556FAB">
        <w:t xml:space="preserve">Data collection for the audit was carried out in collaboration with academic partners. </w:t>
      </w:r>
      <w:r w:rsidR="0052017E" w:rsidRPr="004513FA">
        <w:t xml:space="preserve">In late 2023, a group of undergraduate students </w:t>
      </w:r>
      <w:r w:rsidR="004513FA" w:rsidRPr="004513FA">
        <w:t xml:space="preserve">from Ontario Tech University were engaged </w:t>
      </w:r>
      <w:r w:rsidR="0052017E" w:rsidRPr="004513FA">
        <w:t xml:space="preserve">through a capstone project course to perform the website scan and data gathering for this project. Throughout this process, the students were supervised and supported by the CNIB research team, who provided guidance and ensured the quality and consistency of the data collection efforts. </w:t>
      </w:r>
      <w:r w:rsidRPr="00556FAB">
        <w:t>Capstone Team 10</w:t>
      </w:r>
      <w:r w:rsidR="004513FA" w:rsidRPr="004513FA">
        <w:t>,</w:t>
      </w:r>
      <w:r w:rsidRPr="00556FAB">
        <w:t xml:space="preserve"> consisting of students Alex Atherley, Nikita Bennett, Hallie Budhoo, Mahin Khan, and Joseph Mandool</w:t>
      </w:r>
      <w:r w:rsidR="004513FA">
        <w:t xml:space="preserve">, </w:t>
      </w:r>
      <w:r w:rsidRPr="00556FAB">
        <w:t>conducted systematic audits of publicly available information for 114 leading companies (100 U.S.-based and 14 Canadian companies from the Fortune Global 500</w:t>
      </w:r>
      <w:r w:rsidR="0083568C">
        <w:t>, 2022 dataset</w:t>
      </w:r>
      <w:r w:rsidRPr="00556FAB">
        <w:t>). The students operated under the supervision of CNIB’s research staff and their course instructor (Prof. Amanda Gaudet) and teaching assistant, following a detailed project charter and audit protocol. The capstone team’s mandate was to identify whether and how each organization publicly demonstrates its commitment to IDEA principles, by analyzing sources such as corporate websites, diversity reports, career pages, sustainability and ESG reports, and other publicly accessible corporate documents (Capstone Team 10, 2023). Data points were collected corresponding to each audit question (e.g., presence of specific policy statements, availability of accessibility features or language, etc.), and evidence was documented for each assessment.</w:t>
      </w:r>
      <w:r w:rsidR="008C151C" w:rsidRPr="00556FAB">
        <w:t xml:space="preserve"> </w:t>
      </w:r>
    </w:p>
    <w:p w14:paraId="389ECDBA" w14:textId="4C23410A" w:rsidR="00556FAB" w:rsidRPr="00556FAB" w:rsidRDefault="00556FAB" w:rsidP="00556FAB">
      <w:pPr>
        <w:pStyle w:val="BodyCopy"/>
      </w:pPr>
      <w:r w:rsidRPr="00556FAB">
        <w:lastRenderedPageBreak/>
        <w:t xml:space="preserve">The capstone students completed the initial data gathering and delivered a preliminary report of findings as part of their course requirements (Capstone Team 10, 2023). Their role was primarily in data collection and initial synthesis; they scanned the websites and documents of the target organizations and recorded the audit responses based on what they found. It is important to note that, while the students thoroughly documented their methods and results in a course report, this preliminary analysis was </w:t>
      </w:r>
      <w:r w:rsidRPr="00556FAB">
        <w:rPr>
          <w:i/>
          <w:iCs/>
        </w:rPr>
        <w:t>not considered authoritative</w:t>
      </w:r>
      <w:r w:rsidRPr="00556FAB">
        <w:t xml:space="preserve"> for final reporting. Instead, the student-collected dataset was subsequently reviewed and validated by the core research team at CNIB.</w:t>
      </w:r>
      <w:r w:rsidR="006276E4" w:rsidRPr="006276E4">
        <w:t xml:space="preserve"> </w:t>
      </w:r>
    </w:p>
    <w:p w14:paraId="3F4717A9" w14:textId="6B9C956E" w:rsidR="00556FAB" w:rsidRPr="00CB40B5" w:rsidRDefault="00556FAB" w:rsidP="00CB40B5">
      <w:pPr>
        <w:pStyle w:val="Heading3"/>
      </w:pPr>
      <w:bookmarkStart w:id="25" w:name="_Toc243923410"/>
      <w:r w:rsidRPr="00CB40B5">
        <w:t>Data Cleaning, Validation, and Analytical Approach</w:t>
      </w:r>
      <w:bookmarkEnd w:id="25"/>
    </w:p>
    <w:p w14:paraId="64E0985D" w14:textId="382FF160" w:rsidR="00443E8E" w:rsidRPr="00443E8E" w:rsidRDefault="00443E8E" w:rsidP="00443E8E">
      <w:pPr>
        <w:pStyle w:val="BodyCopy"/>
      </w:pPr>
      <w:r w:rsidRPr="00443E8E">
        <w:t>After the initial audits were completed, the data underwent an extensive cleaning and validation process. Lakshita Bhat, a student from the University of Toronto Mississauga enrolled in the Sociology, Criminology, Law and Society Internship (SOC480Y5)</w:t>
      </w:r>
      <w:r w:rsidR="00701788">
        <w:t xml:space="preserve">, </w:t>
      </w:r>
      <w:r w:rsidRPr="00443E8E">
        <w:t>the same course through which Katerina Koudinov contributed to earlier phases of the project</w:t>
      </w:r>
      <w:r w:rsidR="00701788">
        <w:t xml:space="preserve">, </w:t>
      </w:r>
      <w:r w:rsidRPr="00443E8E">
        <w:t xml:space="preserve">joined the research team as an intern in Fall 2025 to support the final phase of analysis. Although not part of the CNIB research team, Lakshita was formally engaged through the internship program to lead the data curation effort. Her responsibilities included performing quality checks and ensuring consistency in how each audit question was interpreted and answered across all 114 organizations. She conducted a secondary review of all evidence, resolving any ambiguities from the initial data (Final Write-Up, 2024). In cases where the capstone team had marked items as “partially present” or where the information was unclear, Lakshita revisited the source material to make a final determination, ensuring the evaluation criteria were applied uniformly. For example, Question 1 (IDEA policy presence) required judgment when an organization had multiple overlapping policy documents; the research team defined clear rules to decide what counted as a single “policy” for the purposes of the audit. </w:t>
      </w:r>
      <w:r w:rsidRPr="00443E8E">
        <w:lastRenderedPageBreak/>
        <w:t>Minor discrepancies between the raw data and the final validated dataset (such as a few borderline cases for policy presence) were resolved through team consensus, and the validated values were used in all analyses (Data Appendix, 2024).</w:t>
      </w:r>
    </w:p>
    <w:p w14:paraId="17422751" w14:textId="77777777" w:rsidR="00443E8E" w:rsidRPr="00443E8E" w:rsidRDefault="00443E8E" w:rsidP="00374B1E">
      <w:pPr>
        <w:pStyle w:val="BodyCopy"/>
      </w:pPr>
      <w:r w:rsidRPr="00443E8E">
        <w:t>In parallel, Lakshita conducted descriptive statistical analysis of the cleaned dataset. Frequency counts and percentages were computed for each audit item, and cross-tabulations were examined to identify patterns. The data were synthesized into a final analysis narrative and a Data Appendix (Bhat, 2024) that includes detailed tables for all audit questions and supporting documentation of the findings. All figures and tables presented in this chapter reflect the validated dataset and final analysis, ensuring accuracy and reliability of the reported results.</w:t>
      </w:r>
    </w:p>
    <w:p w14:paraId="268CEBBD" w14:textId="77777777" w:rsidR="00AA19C9" w:rsidRDefault="00AA19C9" w:rsidP="00374B1E">
      <w:pPr>
        <w:pStyle w:val="BodyCopy"/>
        <w:rPr>
          <w:sz w:val="24"/>
          <w:szCs w:val="24"/>
        </w:rPr>
      </w:pPr>
      <w:r>
        <w:t xml:space="preserve">The analysis presented in this section is based on the audited sample of 114 large companies, encompassing both U.S. and Canadian organizations. All findings are descriptive and correlational, reflecting the observed patterns within the dataset. It is important to note that no causal assertions are made regarding the reasons behind these patterns. Instead, the interpretations are framed through the lens of organizational signaling—how companies publicly communicate their dedication to IDEA principles. These interpretations remain bounded by the data and context of this specific sample, and further discussion of organizational signaling is provided later in the chapter. </w:t>
      </w:r>
    </w:p>
    <w:p w14:paraId="0A105EC4" w14:textId="22261DF2" w:rsidR="00556FAB" w:rsidRPr="00556FAB" w:rsidRDefault="00556FAB" w:rsidP="00CB40B5">
      <w:pPr>
        <w:pStyle w:val="Heading3"/>
      </w:pPr>
      <w:bookmarkStart w:id="26" w:name="_Toc243923411"/>
      <w:r w:rsidRPr="00556FAB">
        <w:t>Key Findings</w:t>
      </w:r>
      <w:bookmarkEnd w:id="26"/>
    </w:p>
    <w:p w14:paraId="31104E7C" w14:textId="77777777" w:rsidR="00556FAB" w:rsidRPr="00556FAB" w:rsidRDefault="00556FAB" w:rsidP="00556FAB">
      <w:pPr>
        <w:pStyle w:val="BodyCopy"/>
      </w:pPr>
      <w:r w:rsidRPr="00556FAB">
        <w:t xml:space="preserve">The audit results provide a quantitative snapshot of how major organizations publicly communicate their commitment to inclusion, diversity, equity, and accessibility. </w:t>
      </w:r>
      <w:r w:rsidRPr="00556FAB">
        <w:rPr>
          <w:b/>
          <w:bCs/>
        </w:rPr>
        <w:t>Table 1</w:t>
      </w:r>
      <w:r w:rsidRPr="00556FAB">
        <w:t xml:space="preserve"> summarizes the core </w:t>
      </w:r>
      <w:r w:rsidRPr="00556FAB">
        <w:rPr>
          <w:i/>
          <w:iCs/>
        </w:rPr>
        <w:t>Yes/No frequencies</w:t>
      </w:r>
      <w:r w:rsidRPr="00556FAB">
        <w:t xml:space="preserve"> for ten selected IDEA audit questions, covering high-level commitments and practical implementation measures. Several clear patterns emerge from these data: nearly all organizations signal strong </w:t>
      </w:r>
      <w:r w:rsidRPr="00556FAB">
        <w:lastRenderedPageBreak/>
        <w:t>commitment to diversity and anti-discrimination in general terms, while far fewer communicate specific commitments to accessibility or detailed support mechanisms for employees with disabilities.</w:t>
      </w:r>
    </w:p>
    <w:p w14:paraId="599FB73F" w14:textId="474CF9FD" w:rsidR="00556FAB" w:rsidRPr="00556FAB" w:rsidRDefault="00BC45B3" w:rsidP="00BC45B3">
      <w:pPr>
        <w:pStyle w:val="BodyCopy"/>
      </w:pPr>
      <w:r w:rsidRPr="00BC45B3">
        <w:rPr>
          <w:b/>
          <w:bCs/>
        </w:rPr>
        <w:t xml:space="preserve">Table </w:t>
      </w:r>
      <w:r w:rsidRPr="00BC45B3">
        <w:rPr>
          <w:b/>
          <w:bCs/>
        </w:rPr>
        <w:fldChar w:fldCharType="begin"/>
      </w:r>
      <w:r w:rsidRPr="00BC45B3">
        <w:rPr>
          <w:b/>
          <w:bCs/>
        </w:rPr>
        <w:instrText xml:space="preserve"> SEQ Table \* ARABIC </w:instrText>
      </w:r>
      <w:r w:rsidRPr="00BC45B3">
        <w:rPr>
          <w:b/>
          <w:bCs/>
        </w:rPr>
        <w:fldChar w:fldCharType="separate"/>
      </w:r>
      <w:r w:rsidR="00397FFE">
        <w:rPr>
          <w:b/>
          <w:bCs/>
          <w:noProof/>
        </w:rPr>
        <w:t>1</w:t>
      </w:r>
      <w:r w:rsidRPr="00BC45B3">
        <w:rPr>
          <w:b/>
          <w:bCs/>
        </w:rPr>
        <w:fldChar w:fldCharType="end"/>
      </w:r>
      <w:r w:rsidRPr="00BC45B3">
        <w:rPr>
          <w:b/>
          <w:bCs/>
        </w:rPr>
        <w:t>.</w:t>
      </w:r>
      <w:r>
        <w:t xml:space="preserve"> </w:t>
      </w:r>
      <w:r w:rsidRPr="00063A1D">
        <w:t>Core Yes/No Frequencies for Selected IDEA Audit Questions  (114 organizations audited)</w:t>
      </w:r>
    </w:p>
    <w:tbl>
      <w:tblPr>
        <w:tblStyle w:val="TableGrid"/>
        <w:tblW w:w="0" w:type="auto"/>
        <w:tblLook w:val="0620" w:firstRow="1" w:lastRow="0" w:firstColumn="0" w:lastColumn="0" w:noHBand="1" w:noVBand="1"/>
        <w:tblCaption w:val="Table 1. Core Yes/No Frequencies for Selected IDEA Audit Questions"/>
        <w:tblDescription w:val="Table listing 10 key audit questions with Yes counts ranging from 105 (92.1%) for having an IDEA policy to 34 (29.8%) for having a complaint process. Non-discrimination statements (80.7% Yes) and employee resource groups (77.2% Yes) are common, while public communication about disability accommodations, accessibility standards, and complaint mechanisms is much less prevalent."/>
      </w:tblPr>
      <w:tblGrid>
        <w:gridCol w:w="5460"/>
        <w:gridCol w:w="923"/>
        <w:gridCol w:w="798"/>
        <w:gridCol w:w="1114"/>
        <w:gridCol w:w="1055"/>
      </w:tblGrid>
      <w:tr w:rsidR="00A76F92" w:rsidRPr="00556FAB" w14:paraId="6996F62C" w14:textId="77777777" w:rsidTr="003A08AF">
        <w:trPr>
          <w:trHeight w:val="1008"/>
          <w:tblHeader/>
        </w:trPr>
        <w:tc>
          <w:tcPr>
            <w:tcW w:w="0" w:type="auto"/>
            <w:shd w:val="clear" w:color="auto" w:fill="FFF200"/>
            <w:hideMark/>
          </w:tcPr>
          <w:p w14:paraId="5F45E1AC" w14:textId="77777777" w:rsidR="00556FAB" w:rsidRPr="00556FAB" w:rsidRDefault="00556FAB" w:rsidP="00556FAB">
            <w:pPr>
              <w:pStyle w:val="BodyCopy"/>
              <w:rPr>
                <w:b/>
                <w:bCs/>
              </w:rPr>
            </w:pPr>
            <w:r w:rsidRPr="00556FAB">
              <w:rPr>
                <w:b/>
                <w:bCs/>
              </w:rPr>
              <w:t>Audit Question</w:t>
            </w:r>
          </w:p>
        </w:tc>
        <w:tc>
          <w:tcPr>
            <w:tcW w:w="0" w:type="auto"/>
            <w:shd w:val="clear" w:color="auto" w:fill="FFF200"/>
            <w:hideMark/>
          </w:tcPr>
          <w:p w14:paraId="16EF7202" w14:textId="77777777" w:rsidR="00556FAB" w:rsidRPr="00556FAB" w:rsidRDefault="00556FAB" w:rsidP="00994626">
            <w:pPr>
              <w:pStyle w:val="BodyCopy"/>
              <w:jc w:val="center"/>
              <w:rPr>
                <w:b/>
                <w:bCs/>
              </w:rPr>
            </w:pPr>
            <w:r w:rsidRPr="00556FAB">
              <w:rPr>
                <w:b/>
                <w:bCs/>
              </w:rPr>
              <w:t>Yes (n)</w:t>
            </w:r>
          </w:p>
        </w:tc>
        <w:tc>
          <w:tcPr>
            <w:tcW w:w="0" w:type="auto"/>
            <w:shd w:val="clear" w:color="auto" w:fill="FFF200"/>
            <w:hideMark/>
          </w:tcPr>
          <w:p w14:paraId="7AF56721" w14:textId="77777777" w:rsidR="00556FAB" w:rsidRPr="00556FAB" w:rsidRDefault="00556FAB" w:rsidP="00994626">
            <w:pPr>
              <w:pStyle w:val="BodyCopy"/>
              <w:jc w:val="center"/>
              <w:rPr>
                <w:b/>
                <w:bCs/>
              </w:rPr>
            </w:pPr>
            <w:r w:rsidRPr="00556FAB">
              <w:rPr>
                <w:b/>
                <w:bCs/>
              </w:rPr>
              <w:t>No (n)</w:t>
            </w:r>
          </w:p>
        </w:tc>
        <w:tc>
          <w:tcPr>
            <w:tcW w:w="0" w:type="auto"/>
            <w:shd w:val="clear" w:color="auto" w:fill="FFF200"/>
            <w:hideMark/>
          </w:tcPr>
          <w:p w14:paraId="338243DE" w14:textId="77777777" w:rsidR="00556FAB" w:rsidRPr="00556FAB" w:rsidRDefault="00556FAB" w:rsidP="00994626">
            <w:pPr>
              <w:pStyle w:val="BodyCopy"/>
              <w:jc w:val="center"/>
              <w:rPr>
                <w:b/>
                <w:bCs/>
              </w:rPr>
            </w:pPr>
            <w:r w:rsidRPr="00556FAB">
              <w:rPr>
                <w:b/>
                <w:bCs/>
              </w:rPr>
              <w:t>Yes (%)</w:t>
            </w:r>
          </w:p>
        </w:tc>
        <w:tc>
          <w:tcPr>
            <w:tcW w:w="0" w:type="auto"/>
            <w:shd w:val="clear" w:color="auto" w:fill="FFF200"/>
            <w:hideMark/>
          </w:tcPr>
          <w:p w14:paraId="27725E43" w14:textId="77777777" w:rsidR="00556FAB" w:rsidRPr="00556FAB" w:rsidRDefault="00556FAB" w:rsidP="00994626">
            <w:pPr>
              <w:pStyle w:val="BodyCopy"/>
              <w:jc w:val="center"/>
              <w:rPr>
                <w:b/>
                <w:bCs/>
              </w:rPr>
            </w:pPr>
            <w:r w:rsidRPr="00556FAB">
              <w:rPr>
                <w:b/>
                <w:bCs/>
              </w:rPr>
              <w:t>No (%)</w:t>
            </w:r>
          </w:p>
        </w:tc>
      </w:tr>
      <w:tr w:rsidR="00A76F92" w:rsidRPr="00556FAB" w14:paraId="471A08F6" w14:textId="77777777" w:rsidTr="003A08AF">
        <w:trPr>
          <w:trHeight w:val="1008"/>
        </w:trPr>
        <w:tc>
          <w:tcPr>
            <w:tcW w:w="0" w:type="auto"/>
            <w:shd w:val="clear" w:color="auto" w:fill="FFF200"/>
            <w:hideMark/>
          </w:tcPr>
          <w:p w14:paraId="5F6EDAE9" w14:textId="77777777" w:rsidR="00556FAB" w:rsidRPr="00556FAB" w:rsidRDefault="00556FAB" w:rsidP="00556FAB">
            <w:pPr>
              <w:pStyle w:val="BodyCopy"/>
              <w:rPr>
                <w:b/>
                <w:bCs/>
              </w:rPr>
            </w:pPr>
            <w:r w:rsidRPr="00556FAB">
              <w:rPr>
                <w:b/>
                <w:bCs/>
              </w:rPr>
              <w:t>Q1. IDEA policy or commitment statement present</w:t>
            </w:r>
          </w:p>
        </w:tc>
        <w:tc>
          <w:tcPr>
            <w:tcW w:w="0" w:type="auto"/>
            <w:hideMark/>
          </w:tcPr>
          <w:p w14:paraId="3AD1102F" w14:textId="77777777" w:rsidR="00556FAB" w:rsidRPr="00556FAB" w:rsidRDefault="00556FAB" w:rsidP="00994626">
            <w:pPr>
              <w:pStyle w:val="BodyCopy"/>
              <w:jc w:val="center"/>
            </w:pPr>
            <w:r w:rsidRPr="00556FAB">
              <w:t>105</w:t>
            </w:r>
          </w:p>
        </w:tc>
        <w:tc>
          <w:tcPr>
            <w:tcW w:w="0" w:type="auto"/>
            <w:hideMark/>
          </w:tcPr>
          <w:p w14:paraId="0166B85D" w14:textId="77777777" w:rsidR="00556FAB" w:rsidRPr="00556FAB" w:rsidRDefault="00556FAB" w:rsidP="00994626">
            <w:pPr>
              <w:pStyle w:val="BodyCopy"/>
              <w:jc w:val="center"/>
            </w:pPr>
            <w:r w:rsidRPr="00556FAB">
              <w:t>9</w:t>
            </w:r>
          </w:p>
        </w:tc>
        <w:tc>
          <w:tcPr>
            <w:tcW w:w="0" w:type="auto"/>
            <w:hideMark/>
          </w:tcPr>
          <w:p w14:paraId="5CBB80BB" w14:textId="5203660A" w:rsidR="00556FAB" w:rsidRPr="00556FAB" w:rsidRDefault="00556FAB" w:rsidP="00994626">
            <w:pPr>
              <w:pStyle w:val="BodyCopy"/>
              <w:jc w:val="center"/>
            </w:pPr>
            <w:r w:rsidRPr="00556FAB">
              <w:t>92.1%</w:t>
            </w:r>
          </w:p>
        </w:tc>
        <w:tc>
          <w:tcPr>
            <w:tcW w:w="0" w:type="auto"/>
            <w:hideMark/>
          </w:tcPr>
          <w:p w14:paraId="20466193" w14:textId="676E7987" w:rsidR="00556FAB" w:rsidRPr="00556FAB" w:rsidRDefault="00556FAB" w:rsidP="00994626">
            <w:pPr>
              <w:pStyle w:val="BodyCopy"/>
              <w:jc w:val="center"/>
            </w:pPr>
            <w:r w:rsidRPr="00556FAB">
              <w:t>7.9%</w:t>
            </w:r>
          </w:p>
        </w:tc>
      </w:tr>
      <w:tr w:rsidR="00A76F92" w:rsidRPr="00556FAB" w14:paraId="6923306F" w14:textId="77777777" w:rsidTr="003A08AF">
        <w:trPr>
          <w:trHeight w:val="1008"/>
        </w:trPr>
        <w:tc>
          <w:tcPr>
            <w:tcW w:w="0" w:type="auto"/>
            <w:shd w:val="clear" w:color="auto" w:fill="FFF200"/>
            <w:hideMark/>
          </w:tcPr>
          <w:p w14:paraId="4CD6A6EC" w14:textId="77777777" w:rsidR="00556FAB" w:rsidRPr="00556FAB" w:rsidRDefault="00556FAB" w:rsidP="00556FAB">
            <w:pPr>
              <w:pStyle w:val="BodyCopy"/>
              <w:rPr>
                <w:b/>
                <w:bCs/>
              </w:rPr>
            </w:pPr>
            <w:r w:rsidRPr="00556FAB">
              <w:rPr>
                <w:b/>
                <w:bCs/>
              </w:rPr>
              <w:t>Q4.3 Leadership diversity data reported (any)</w:t>
            </w:r>
          </w:p>
        </w:tc>
        <w:tc>
          <w:tcPr>
            <w:tcW w:w="0" w:type="auto"/>
            <w:hideMark/>
          </w:tcPr>
          <w:p w14:paraId="61CE989A" w14:textId="77777777" w:rsidR="00556FAB" w:rsidRPr="00556FAB" w:rsidRDefault="00556FAB" w:rsidP="00994626">
            <w:pPr>
              <w:pStyle w:val="BodyCopy"/>
              <w:jc w:val="center"/>
            </w:pPr>
            <w:r w:rsidRPr="00556FAB">
              <w:t>89</w:t>
            </w:r>
          </w:p>
        </w:tc>
        <w:tc>
          <w:tcPr>
            <w:tcW w:w="0" w:type="auto"/>
            <w:hideMark/>
          </w:tcPr>
          <w:p w14:paraId="4DC1493A" w14:textId="77777777" w:rsidR="00556FAB" w:rsidRPr="00556FAB" w:rsidRDefault="00556FAB" w:rsidP="00994626">
            <w:pPr>
              <w:pStyle w:val="BodyCopy"/>
              <w:jc w:val="center"/>
            </w:pPr>
            <w:r w:rsidRPr="00556FAB">
              <w:t>25</w:t>
            </w:r>
          </w:p>
        </w:tc>
        <w:tc>
          <w:tcPr>
            <w:tcW w:w="0" w:type="auto"/>
            <w:hideMark/>
          </w:tcPr>
          <w:p w14:paraId="0B230486" w14:textId="14391F77" w:rsidR="00556FAB" w:rsidRPr="00556FAB" w:rsidRDefault="00556FAB" w:rsidP="00994626">
            <w:pPr>
              <w:pStyle w:val="BodyCopy"/>
              <w:jc w:val="center"/>
            </w:pPr>
            <w:r w:rsidRPr="00556FAB">
              <w:t>78.1%</w:t>
            </w:r>
          </w:p>
        </w:tc>
        <w:tc>
          <w:tcPr>
            <w:tcW w:w="0" w:type="auto"/>
            <w:hideMark/>
          </w:tcPr>
          <w:p w14:paraId="597142F9" w14:textId="6E78CF86" w:rsidR="00556FAB" w:rsidRPr="00556FAB" w:rsidRDefault="00556FAB" w:rsidP="00994626">
            <w:pPr>
              <w:pStyle w:val="BodyCopy"/>
              <w:jc w:val="center"/>
            </w:pPr>
            <w:r w:rsidRPr="00556FAB">
              <w:t>21.9%</w:t>
            </w:r>
          </w:p>
        </w:tc>
      </w:tr>
      <w:tr w:rsidR="00A76F92" w:rsidRPr="00556FAB" w14:paraId="4C5CECB0" w14:textId="77777777" w:rsidTr="003A08AF">
        <w:trPr>
          <w:trHeight w:val="1008"/>
        </w:trPr>
        <w:tc>
          <w:tcPr>
            <w:tcW w:w="0" w:type="auto"/>
            <w:shd w:val="clear" w:color="auto" w:fill="FFF200"/>
            <w:hideMark/>
          </w:tcPr>
          <w:p w14:paraId="0605F456" w14:textId="77777777" w:rsidR="00556FAB" w:rsidRPr="007069B0" w:rsidRDefault="00556FAB" w:rsidP="00556FAB">
            <w:pPr>
              <w:pStyle w:val="BodyCopy"/>
              <w:rPr>
                <w:b/>
                <w:bCs/>
                <w:lang w:val="fr-CA"/>
              </w:rPr>
            </w:pPr>
            <w:r w:rsidRPr="007069B0">
              <w:rPr>
                <w:b/>
                <w:bCs/>
                <w:lang w:val="fr-CA"/>
              </w:rPr>
              <w:t>Q6. Non-discrimination (EEO) language on careers page</w:t>
            </w:r>
          </w:p>
        </w:tc>
        <w:tc>
          <w:tcPr>
            <w:tcW w:w="0" w:type="auto"/>
            <w:hideMark/>
          </w:tcPr>
          <w:p w14:paraId="2D7B2AD6" w14:textId="77777777" w:rsidR="00556FAB" w:rsidRPr="00556FAB" w:rsidRDefault="00556FAB" w:rsidP="00994626">
            <w:pPr>
              <w:pStyle w:val="BodyCopy"/>
              <w:jc w:val="center"/>
            </w:pPr>
            <w:r w:rsidRPr="00556FAB">
              <w:t>92</w:t>
            </w:r>
          </w:p>
        </w:tc>
        <w:tc>
          <w:tcPr>
            <w:tcW w:w="0" w:type="auto"/>
            <w:hideMark/>
          </w:tcPr>
          <w:p w14:paraId="692711EE" w14:textId="77777777" w:rsidR="00556FAB" w:rsidRPr="00556FAB" w:rsidRDefault="00556FAB" w:rsidP="00994626">
            <w:pPr>
              <w:pStyle w:val="BodyCopy"/>
              <w:jc w:val="center"/>
            </w:pPr>
            <w:r w:rsidRPr="00556FAB">
              <w:t>22</w:t>
            </w:r>
          </w:p>
        </w:tc>
        <w:tc>
          <w:tcPr>
            <w:tcW w:w="0" w:type="auto"/>
            <w:hideMark/>
          </w:tcPr>
          <w:p w14:paraId="1AE7CE86" w14:textId="30A53AF7" w:rsidR="00556FAB" w:rsidRPr="00556FAB" w:rsidRDefault="00556FAB" w:rsidP="00994626">
            <w:pPr>
              <w:pStyle w:val="BodyCopy"/>
              <w:jc w:val="center"/>
            </w:pPr>
            <w:r w:rsidRPr="00556FAB">
              <w:t>80.7%</w:t>
            </w:r>
          </w:p>
        </w:tc>
        <w:tc>
          <w:tcPr>
            <w:tcW w:w="0" w:type="auto"/>
            <w:hideMark/>
          </w:tcPr>
          <w:p w14:paraId="49EAB635" w14:textId="54D45A25" w:rsidR="00556FAB" w:rsidRPr="00556FAB" w:rsidRDefault="00556FAB" w:rsidP="00994626">
            <w:pPr>
              <w:pStyle w:val="BodyCopy"/>
              <w:jc w:val="center"/>
            </w:pPr>
            <w:r w:rsidRPr="00556FAB">
              <w:t>19.3%</w:t>
            </w:r>
          </w:p>
        </w:tc>
      </w:tr>
      <w:tr w:rsidR="00A76F92" w:rsidRPr="00556FAB" w14:paraId="6BA55300" w14:textId="77777777" w:rsidTr="003A08AF">
        <w:trPr>
          <w:trHeight w:val="1008"/>
        </w:trPr>
        <w:tc>
          <w:tcPr>
            <w:tcW w:w="0" w:type="auto"/>
            <w:shd w:val="clear" w:color="auto" w:fill="FFF200"/>
            <w:hideMark/>
          </w:tcPr>
          <w:p w14:paraId="23F1092F" w14:textId="77777777" w:rsidR="00556FAB" w:rsidRPr="00556FAB" w:rsidRDefault="00556FAB" w:rsidP="00556FAB">
            <w:pPr>
              <w:pStyle w:val="BodyCopy"/>
              <w:rPr>
                <w:b/>
                <w:bCs/>
              </w:rPr>
            </w:pPr>
            <w:r w:rsidRPr="00556FAB">
              <w:rPr>
                <w:b/>
                <w:bCs/>
              </w:rPr>
              <w:t>Q7. Recruitment accommodations statement available</w:t>
            </w:r>
          </w:p>
        </w:tc>
        <w:tc>
          <w:tcPr>
            <w:tcW w:w="0" w:type="auto"/>
            <w:hideMark/>
          </w:tcPr>
          <w:p w14:paraId="70FA2377" w14:textId="77777777" w:rsidR="00556FAB" w:rsidRPr="00556FAB" w:rsidRDefault="00556FAB" w:rsidP="00994626">
            <w:pPr>
              <w:pStyle w:val="BodyCopy"/>
              <w:jc w:val="center"/>
            </w:pPr>
            <w:r w:rsidRPr="00556FAB">
              <w:t>55</w:t>
            </w:r>
          </w:p>
        </w:tc>
        <w:tc>
          <w:tcPr>
            <w:tcW w:w="0" w:type="auto"/>
            <w:hideMark/>
          </w:tcPr>
          <w:p w14:paraId="472F92CD" w14:textId="77777777" w:rsidR="00556FAB" w:rsidRPr="00556FAB" w:rsidRDefault="00556FAB" w:rsidP="00994626">
            <w:pPr>
              <w:pStyle w:val="BodyCopy"/>
              <w:jc w:val="center"/>
            </w:pPr>
            <w:r w:rsidRPr="00556FAB">
              <w:t>59</w:t>
            </w:r>
          </w:p>
        </w:tc>
        <w:tc>
          <w:tcPr>
            <w:tcW w:w="0" w:type="auto"/>
            <w:hideMark/>
          </w:tcPr>
          <w:p w14:paraId="071FA502" w14:textId="32B7796A" w:rsidR="00556FAB" w:rsidRPr="00556FAB" w:rsidRDefault="00556FAB" w:rsidP="00994626">
            <w:pPr>
              <w:pStyle w:val="BodyCopy"/>
              <w:jc w:val="center"/>
            </w:pPr>
            <w:r w:rsidRPr="00556FAB">
              <w:t>48.2%</w:t>
            </w:r>
          </w:p>
        </w:tc>
        <w:tc>
          <w:tcPr>
            <w:tcW w:w="0" w:type="auto"/>
            <w:hideMark/>
          </w:tcPr>
          <w:p w14:paraId="6409EBBB" w14:textId="2BBE49D5" w:rsidR="00556FAB" w:rsidRPr="00556FAB" w:rsidRDefault="00556FAB" w:rsidP="00994626">
            <w:pPr>
              <w:pStyle w:val="BodyCopy"/>
              <w:jc w:val="center"/>
            </w:pPr>
            <w:r w:rsidRPr="00556FAB">
              <w:t>51.8%</w:t>
            </w:r>
          </w:p>
        </w:tc>
      </w:tr>
      <w:tr w:rsidR="00A76F92" w:rsidRPr="00556FAB" w14:paraId="26B7B349" w14:textId="77777777" w:rsidTr="003A08AF">
        <w:trPr>
          <w:trHeight w:val="1008"/>
        </w:trPr>
        <w:tc>
          <w:tcPr>
            <w:tcW w:w="0" w:type="auto"/>
            <w:shd w:val="clear" w:color="auto" w:fill="FFF200"/>
            <w:hideMark/>
          </w:tcPr>
          <w:p w14:paraId="406E20AF" w14:textId="77777777" w:rsidR="00556FAB" w:rsidRPr="00556FAB" w:rsidRDefault="00556FAB" w:rsidP="00556FAB">
            <w:pPr>
              <w:pStyle w:val="BodyCopy"/>
              <w:rPr>
                <w:b/>
                <w:bCs/>
              </w:rPr>
            </w:pPr>
            <w:r w:rsidRPr="00556FAB">
              <w:rPr>
                <w:b/>
                <w:bCs/>
              </w:rPr>
              <w:t>Q7.1. Info on how to request recruitment accommodations</w:t>
            </w:r>
          </w:p>
        </w:tc>
        <w:tc>
          <w:tcPr>
            <w:tcW w:w="0" w:type="auto"/>
            <w:hideMark/>
          </w:tcPr>
          <w:p w14:paraId="5BE8B2D0" w14:textId="77777777" w:rsidR="00556FAB" w:rsidRPr="00556FAB" w:rsidRDefault="00556FAB" w:rsidP="00994626">
            <w:pPr>
              <w:pStyle w:val="BodyCopy"/>
              <w:jc w:val="center"/>
            </w:pPr>
            <w:r w:rsidRPr="00556FAB">
              <w:t>51</w:t>
            </w:r>
          </w:p>
        </w:tc>
        <w:tc>
          <w:tcPr>
            <w:tcW w:w="0" w:type="auto"/>
            <w:hideMark/>
          </w:tcPr>
          <w:p w14:paraId="0920BC38" w14:textId="77777777" w:rsidR="00556FAB" w:rsidRPr="00556FAB" w:rsidRDefault="00556FAB" w:rsidP="00994626">
            <w:pPr>
              <w:pStyle w:val="BodyCopy"/>
              <w:jc w:val="center"/>
            </w:pPr>
            <w:r w:rsidRPr="00556FAB">
              <w:t>63</w:t>
            </w:r>
          </w:p>
        </w:tc>
        <w:tc>
          <w:tcPr>
            <w:tcW w:w="0" w:type="auto"/>
            <w:hideMark/>
          </w:tcPr>
          <w:p w14:paraId="47E15DFA" w14:textId="3E23377C" w:rsidR="00556FAB" w:rsidRPr="00556FAB" w:rsidRDefault="00556FAB" w:rsidP="00994626">
            <w:pPr>
              <w:pStyle w:val="BodyCopy"/>
              <w:jc w:val="center"/>
            </w:pPr>
            <w:r w:rsidRPr="00556FAB">
              <w:t>44.7%</w:t>
            </w:r>
          </w:p>
        </w:tc>
        <w:tc>
          <w:tcPr>
            <w:tcW w:w="0" w:type="auto"/>
            <w:hideMark/>
          </w:tcPr>
          <w:p w14:paraId="2BDF0B0D" w14:textId="308221A1" w:rsidR="00556FAB" w:rsidRPr="00556FAB" w:rsidRDefault="00556FAB" w:rsidP="00994626">
            <w:pPr>
              <w:pStyle w:val="BodyCopy"/>
              <w:jc w:val="center"/>
            </w:pPr>
            <w:r w:rsidRPr="00556FAB">
              <w:t>55.3%</w:t>
            </w:r>
          </w:p>
        </w:tc>
      </w:tr>
      <w:tr w:rsidR="00A76F92" w:rsidRPr="00556FAB" w14:paraId="08040778" w14:textId="77777777" w:rsidTr="003A08AF">
        <w:trPr>
          <w:trHeight w:val="1008"/>
        </w:trPr>
        <w:tc>
          <w:tcPr>
            <w:tcW w:w="0" w:type="auto"/>
            <w:shd w:val="clear" w:color="auto" w:fill="FFF200"/>
            <w:hideMark/>
          </w:tcPr>
          <w:p w14:paraId="7065CEE2" w14:textId="77777777" w:rsidR="00556FAB" w:rsidRPr="00556FAB" w:rsidRDefault="00556FAB" w:rsidP="00556FAB">
            <w:pPr>
              <w:pStyle w:val="BodyCopy"/>
              <w:rPr>
                <w:b/>
                <w:bCs/>
              </w:rPr>
            </w:pPr>
            <w:r w:rsidRPr="00556FAB">
              <w:rPr>
                <w:b/>
                <w:bCs/>
              </w:rPr>
              <w:t>Q14. Workplace accommodations for employees mentioned</w:t>
            </w:r>
          </w:p>
        </w:tc>
        <w:tc>
          <w:tcPr>
            <w:tcW w:w="0" w:type="auto"/>
            <w:hideMark/>
          </w:tcPr>
          <w:p w14:paraId="0CBEAC5D" w14:textId="77777777" w:rsidR="00556FAB" w:rsidRPr="00556FAB" w:rsidRDefault="00556FAB" w:rsidP="00994626">
            <w:pPr>
              <w:pStyle w:val="BodyCopy"/>
              <w:jc w:val="center"/>
            </w:pPr>
            <w:r w:rsidRPr="00556FAB">
              <w:t>52</w:t>
            </w:r>
          </w:p>
        </w:tc>
        <w:tc>
          <w:tcPr>
            <w:tcW w:w="0" w:type="auto"/>
            <w:hideMark/>
          </w:tcPr>
          <w:p w14:paraId="09E733CB" w14:textId="77777777" w:rsidR="00556FAB" w:rsidRPr="00556FAB" w:rsidRDefault="00556FAB" w:rsidP="00994626">
            <w:pPr>
              <w:pStyle w:val="BodyCopy"/>
              <w:jc w:val="center"/>
            </w:pPr>
            <w:r w:rsidRPr="00556FAB">
              <w:t>62</w:t>
            </w:r>
          </w:p>
        </w:tc>
        <w:tc>
          <w:tcPr>
            <w:tcW w:w="0" w:type="auto"/>
            <w:hideMark/>
          </w:tcPr>
          <w:p w14:paraId="05BABB95" w14:textId="383390F8" w:rsidR="00556FAB" w:rsidRPr="00556FAB" w:rsidRDefault="00556FAB" w:rsidP="00994626">
            <w:pPr>
              <w:pStyle w:val="BodyCopy"/>
              <w:jc w:val="center"/>
            </w:pPr>
            <w:r w:rsidRPr="00556FAB">
              <w:t>45.6%</w:t>
            </w:r>
          </w:p>
        </w:tc>
        <w:tc>
          <w:tcPr>
            <w:tcW w:w="0" w:type="auto"/>
            <w:hideMark/>
          </w:tcPr>
          <w:p w14:paraId="67BAE585" w14:textId="68147858" w:rsidR="00556FAB" w:rsidRPr="00556FAB" w:rsidRDefault="00556FAB" w:rsidP="00994626">
            <w:pPr>
              <w:pStyle w:val="BodyCopy"/>
              <w:jc w:val="center"/>
            </w:pPr>
            <w:r w:rsidRPr="00556FAB">
              <w:t>54.4%</w:t>
            </w:r>
          </w:p>
        </w:tc>
      </w:tr>
      <w:tr w:rsidR="00A76F92" w:rsidRPr="00556FAB" w14:paraId="585CB2F3" w14:textId="77777777" w:rsidTr="003A08AF">
        <w:trPr>
          <w:trHeight w:val="1008"/>
        </w:trPr>
        <w:tc>
          <w:tcPr>
            <w:tcW w:w="0" w:type="auto"/>
            <w:shd w:val="clear" w:color="auto" w:fill="FFF200"/>
            <w:hideMark/>
          </w:tcPr>
          <w:p w14:paraId="1D9F4C81" w14:textId="77777777" w:rsidR="00556FAB" w:rsidRPr="00556FAB" w:rsidRDefault="00556FAB" w:rsidP="00556FAB">
            <w:pPr>
              <w:pStyle w:val="BodyCopy"/>
              <w:rPr>
                <w:b/>
                <w:bCs/>
              </w:rPr>
            </w:pPr>
            <w:r w:rsidRPr="00556FAB">
              <w:rPr>
                <w:b/>
                <w:bCs/>
              </w:rPr>
              <w:t>Q16. Employee resource groups (ERGs) present</w:t>
            </w:r>
          </w:p>
        </w:tc>
        <w:tc>
          <w:tcPr>
            <w:tcW w:w="0" w:type="auto"/>
            <w:hideMark/>
          </w:tcPr>
          <w:p w14:paraId="0346B667" w14:textId="77777777" w:rsidR="00556FAB" w:rsidRPr="00556FAB" w:rsidRDefault="00556FAB" w:rsidP="00994626">
            <w:pPr>
              <w:pStyle w:val="BodyCopy"/>
              <w:jc w:val="center"/>
            </w:pPr>
            <w:r w:rsidRPr="00556FAB">
              <w:t>88</w:t>
            </w:r>
          </w:p>
        </w:tc>
        <w:tc>
          <w:tcPr>
            <w:tcW w:w="0" w:type="auto"/>
            <w:hideMark/>
          </w:tcPr>
          <w:p w14:paraId="4AD0301C" w14:textId="77777777" w:rsidR="00556FAB" w:rsidRPr="00556FAB" w:rsidRDefault="00556FAB" w:rsidP="00994626">
            <w:pPr>
              <w:pStyle w:val="BodyCopy"/>
              <w:jc w:val="center"/>
            </w:pPr>
            <w:r w:rsidRPr="00556FAB">
              <w:t>26</w:t>
            </w:r>
          </w:p>
        </w:tc>
        <w:tc>
          <w:tcPr>
            <w:tcW w:w="0" w:type="auto"/>
            <w:hideMark/>
          </w:tcPr>
          <w:p w14:paraId="2FD27FD6" w14:textId="7459C22D" w:rsidR="00556FAB" w:rsidRPr="00556FAB" w:rsidRDefault="00556FAB" w:rsidP="00994626">
            <w:pPr>
              <w:pStyle w:val="BodyCopy"/>
              <w:jc w:val="center"/>
            </w:pPr>
            <w:r w:rsidRPr="00556FAB">
              <w:t>77.2%</w:t>
            </w:r>
          </w:p>
        </w:tc>
        <w:tc>
          <w:tcPr>
            <w:tcW w:w="0" w:type="auto"/>
            <w:hideMark/>
          </w:tcPr>
          <w:p w14:paraId="397F012B" w14:textId="327B1C01" w:rsidR="00556FAB" w:rsidRPr="00556FAB" w:rsidRDefault="00556FAB" w:rsidP="00994626">
            <w:pPr>
              <w:pStyle w:val="BodyCopy"/>
              <w:jc w:val="center"/>
            </w:pPr>
            <w:r w:rsidRPr="00556FAB">
              <w:t>22.8%</w:t>
            </w:r>
          </w:p>
        </w:tc>
      </w:tr>
      <w:tr w:rsidR="00A76F92" w:rsidRPr="00556FAB" w14:paraId="63F92B7C" w14:textId="77777777" w:rsidTr="003A08AF">
        <w:trPr>
          <w:trHeight w:val="1008"/>
        </w:trPr>
        <w:tc>
          <w:tcPr>
            <w:tcW w:w="0" w:type="auto"/>
            <w:shd w:val="clear" w:color="auto" w:fill="FFF200"/>
            <w:hideMark/>
          </w:tcPr>
          <w:p w14:paraId="7749F66E" w14:textId="77777777" w:rsidR="00556FAB" w:rsidRPr="00556FAB" w:rsidRDefault="00556FAB" w:rsidP="00556FAB">
            <w:pPr>
              <w:pStyle w:val="BodyCopy"/>
              <w:rPr>
                <w:b/>
                <w:bCs/>
              </w:rPr>
            </w:pPr>
            <w:r w:rsidRPr="00556FAB">
              <w:rPr>
                <w:b/>
                <w:bCs/>
              </w:rPr>
              <w:lastRenderedPageBreak/>
              <w:t>Q17. Complaint/grievance process described</w:t>
            </w:r>
          </w:p>
        </w:tc>
        <w:tc>
          <w:tcPr>
            <w:tcW w:w="0" w:type="auto"/>
            <w:hideMark/>
          </w:tcPr>
          <w:p w14:paraId="6B7FD836" w14:textId="77777777" w:rsidR="00556FAB" w:rsidRPr="00556FAB" w:rsidRDefault="00556FAB" w:rsidP="00994626">
            <w:pPr>
              <w:pStyle w:val="BodyCopy"/>
              <w:jc w:val="center"/>
            </w:pPr>
            <w:r w:rsidRPr="00556FAB">
              <w:t>34</w:t>
            </w:r>
          </w:p>
        </w:tc>
        <w:tc>
          <w:tcPr>
            <w:tcW w:w="0" w:type="auto"/>
            <w:hideMark/>
          </w:tcPr>
          <w:p w14:paraId="2296925F" w14:textId="77777777" w:rsidR="00556FAB" w:rsidRPr="00556FAB" w:rsidRDefault="00556FAB" w:rsidP="00994626">
            <w:pPr>
              <w:pStyle w:val="BodyCopy"/>
              <w:jc w:val="center"/>
            </w:pPr>
            <w:r w:rsidRPr="00556FAB">
              <w:t>80</w:t>
            </w:r>
          </w:p>
        </w:tc>
        <w:tc>
          <w:tcPr>
            <w:tcW w:w="0" w:type="auto"/>
            <w:hideMark/>
          </w:tcPr>
          <w:p w14:paraId="0579F8A5" w14:textId="37EE1C51" w:rsidR="00556FAB" w:rsidRPr="00556FAB" w:rsidRDefault="00556FAB" w:rsidP="00994626">
            <w:pPr>
              <w:pStyle w:val="BodyCopy"/>
              <w:jc w:val="center"/>
            </w:pPr>
            <w:r w:rsidRPr="00556FAB">
              <w:t>29.8%</w:t>
            </w:r>
          </w:p>
        </w:tc>
        <w:tc>
          <w:tcPr>
            <w:tcW w:w="0" w:type="auto"/>
            <w:hideMark/>
          </w:tcPr>
          <w:p w14:paraId="334472E9" w14:textId="44C133FB" w:rsidR="00556FAB" w:rsidRPr="00556FAB" w:rsidRDefault="00556FAB" w:rsidP="00994626">
            <w:pPr>
              <w:pStyle w:val="BodyCopy"/>
              <w:jc w:val="center"/>
            </w:pPr>
            <w:r w:rsidRPr="00556FAB">
              <w:t>70.2%</w:t>
            </w:r>
          </w:p>
        </w:tc>
      </w:tr>
      <w:tr w:rsidR="00A76F92" w:rsidRPr="00556FAB" w14:paraId="201B4C2E" w14:textId="77777777" w:rsidTr="003A08AF">
        <w:trPr>
          <w:trHeight w:val="1008"/>
        </w:trPr>
        <w:tc>
          <w:tcPr>
            <w:tcW w:w="0" w:type="auto"/>
            <w:shd w:val="clear" w:color="auto" w:fill="FFF200"/>
            <w:hideMark/>
          </w:tcPr>
          <w:p w14:paraId="690621E4" w14:textId="77777777" w:rsidR="00556FAB" w:rsidRPr="00556FAB" w:rsidRDefault="00556FAB" w:rsidP="00556FAB">
            <w:pPr>
              <w:pStyle w:val="BodyCopy"/>
              <w:rPr>
                <w:b/>
                <w:bCs/>
              </w:rPr>
            </w:pPr>
            <w:r w:rsidRPr="00556FAB">
              <w:rPr>
                <w:b/>
                <w:bCs/>
              </w:rPr>
              <w:t>Q21. Commitment to physical accessibility standards</w:t>
            </w:r>
          </w:p>
        </w:tc>
        <w:tc>
          <w:tcPr>
            <w:tcW w:w="0" w:type="auto"/>
            <w:hideMark/>
          </w:tcPr>
          <w:p w14:paraId="2B4F0C9C" w14:textId="77777777" w:rsidR="00556FAB" w:rsidRPr="00556FAB" w:rsidRDefault="00556FAB" w:rsidP="00994626">
            <w:pPr>
              <w:pStyle w:val="BodyCopy"/>
              <w:jc w:val="center"/>
            </w:pPr>
            <w:r w:rsidRPr="00556FAB">
              <w:t>39</w:t>
            </w:r>
          </w:p>
        </w:tc>
        <w:tc>
          <w:tcPr>
            <w:tcW w:w="0" w:type="auto"/>
            <w:hideMark/>
          </w:tcPr>
          <w:p w14:paraId="12A37BEA" w14:textId="77777777" w:rsidR="00556FAB" w:rsidRPr="00556FAB" w:rsidRDefault="00556FAB" w:rsidP="00994626">
            <w:pPr>
              <w:pStyle w:val="BodyCopy"/>
              <w:jc w:val="center"/>
            </w:pPr>
            <w:r w:rsidRPr="00556FAB">
              <w:t>75</w:t>
            </w:r>
          </w:p>
        </w:tc>
        <w:tc>
          <w:tcPr>
            <w:tcW w:w="0" w:type="auto"/>
            <w:hideMark/>
          </w:tcPr>
          <w:p w14:paraId="24D57F2D" w14:textId="42F3F4E2" w:rsidR="00556FAB" w:rsidRPr="00556FAB" w:rsidRDefault="00556FAB" w:rsidP="00994626">
            <w:pPr>
              <w:pStyle w:val="BodyCopy"/>
              <w:jc w:val="center"/>
            </w:pPr>
            <w:r w:rsidRPr="00556FAB">
              <w:t>34.2%</w:t>
            </w:r>
          </w:p>
        </w:tc>
        <w:tc>
          <w:tcPr>
            <w:tcW w:w="0" w:type="auto"/>
            <w:hideMark/>
          </w:tcPr>
          <w:p w14:paraId="2D7C998C" w14:textId="24064DA2" w:rsidR="00556FAB" w:rsidRPr="00556FAB" w:rsidRDefault="00556FAB" w:rsidP="00994626">
            <w:pPr>
              <w:pStyle w:val="BodyCopy"/>
              <w:jc w:val="center"/>
            </w:pPr>
            <w:r w:rsidRPr="00556FAB">
              <w:t>65.8%</w:t>
            </w:r>
          </w:p>
        </w:tc>
      </w:tr>
      <w:tr w:rsidR="00A76F92" w:rsidRPr="00556FAB" w14:paraId="10FDE1A8" w14:textId="77777777" w:rsidTr="003A08AF">
        <w:trPr>
          <w:trHeight w:val="1008"/>
        </w:trPr>
        <w:tc>
          <w:tcPr>
            <w:tcW w:w="0" w:type="auto"/>
            <w:shd w:val="clear" w:color="auto" w:fill="FFF200"/>
            <w:hideMark/>
          </w:tcPr>
          <w:p w14:paraId="52463CA7" w14:textId="77777777" w:rsidR="00556FAB" w:rsidRPr="00556FAB" w:rsidRDefault="00556FAB" w:rsidP="00556FAB">
            <w:pPr>
              <w:pStyle w:val="BodyCopy"/>
              <w:rPr>
                <w:b/>
                <w:bCs/>
              </w:rPr>
            </w:pPr>
            <w:r w:rsidRPr="00556FAB">
              <w:rPr>
                <w:b/>
                <w:bCs/>
              </w:rPr>
              <w:t>Q22. Commitment to digital accessibility standards</w:t>
            </w:r>
          </w:p>
        </w:tc>
        <w:tc>
          <w:tcPr>
            <w:tcW w:w="0" w:type="auto"/>
            <w:hideMark/>
          </w:tcPr>
          <w:p w14:paraId="6B91B87E" w14:textId="77777777" w:rsidR="00556FAB" w:rsidRPr="00556FAB" w:rsidRDefault="00556FAB" w:rsidP="00994626">
            <w:pPr>
              <w:pStyle w:val="BodyCopy"/>
              <w:jc w:val="center"/>
            </w:pPr>
            <w:r w:rsidRPr="00556FAB">
              <w:t>54</w:t>
            </w:r>
          </w:p>
        </w:tc>
        <w:tc>
          <w:tcPr>
            <w:tcW w:w="0" w:type="auto"/>
            <w:hideMark/>
          </w:tcPr>
          <w:p w14:paraId="505FB435" w14:textId="77777777" w:rsidR="00556FAB" w:rsidRPr="00556FAB" w:rsidRDefault="00556FAB" w:rsidP="00994626">
            <w:pPr>
              <w:pStyle w:val="BodyCopy"/>
              <w:jc w:val="center"/>
            </w:pPr>
            <w:r w:rsidRPr="00556FAB">
              <w:t>60</w:t>
            </w:r>
          </w:p>
        </w:tc>
        <w:tc>
          <w:tcPr>
            <w:tcW w:w="0" w:type="auto"/>
            <w:hideMark/>
          </w:tcPr>
          <w:p w14:paraId="0291279B" w14:textId="20DCF6ED" w:rsidR="00556FAB" w:rsidRPr="00556FAB" w:rsidRDefault="00556FAB" w:rsidP="00994626">
            <w:pPr>
              <w:pStyle w:val="BodyCopy"/>
              <w:jc w:val="center"/>
            </w:pPr>
            <w:r w:rsidRPr="00556FAB">
              <w:t>47.4%</w:t>
            </w:r>
          </w:p>
        </w:tc>
        <w:tc>
          <w:tcPr>
            <w:tcW w:w="0" w:type="auto"/>
            <w:hideMark/>
          </w:tcPr>
          <w:p w14:paraId="15A90A53" w14:textId="57F9A8FB" w:rsidR="00556FAB" w:rsidRPr="00556FAB" w:rsidRDefault="00556FAB" w:rsidP="00994626">
            <w:pPr>
              <w:pStyle w:val="BodyCopy"/>
              <w:jc w:val="center"/>
            </w:pPr>
            <w:r w:rsidRPr="00556FAB">
              <w:t>52.6%</w:t>
            </w:r>
          </w:p>
        </w:tc>
      </w:tr>
    </w:tbl>
    <w:p w14:paraId="76C6A9CB" w14:textId="762F01AB" w:rsidR="00556FAB" w:rsidRPr="00556FAB" w:rsidRDefault="00556FAB" w:rsidP="00556FAB">
      <w:pPr>
        <w:pStyle w:val="BodyCopy"/>
      </w:pPr>
      <w:r w:rsidRPr="00556FAB">
        <w:rPr>
          <w:b/>
          <w:bCs/>
          <w:i/>
          <w:iCs/>
        </w:rPr>
        <w:t>Note:</w:t>
      </w:r>
      <w:r w:rsidRPr="00556FAB">
        <w:t xml:space="preserve"> Q1 values were validated using the project’s tiered classification of “policy” documents; initial classification had identified additional ambiguous cases, but the research team’s validated judgment (105 Yes out of 114) is reported here (Data Appendix, 2024).</w:t>
      </w:r>
    </w:p>
    <w:p w14:paraId="3E6CC0B0" w14:textId="702D77B3" w:rsidR="00556FAB" w:rsidRPr="00556FAB" w:rsidRDefault="00336020" w:rsidP="00556FAB">
      <w:pPr>
        <w:pStyle w:val="BodyCopy"/>
      </w:pPr>
      <w:r>
        <w:rPr>
          <w:b/>
          <w:bCs/>
        </w:rPr>
        <w:t xml:space="preserve">Table </w:t>
      </w:r>
      <w:r w:rsidR="00556FAB" w:rsidRPr="00556FAB">
        <w:rPr>
          <w:b/>
          <w:bCs/>
        </w:rPr>
        <w:t>Caption:</w:t>
      </w:r>
      <w:r w:rsidR="00556FAB" w:rsidRPr="00556FAB">
        <w:t xml:space="preserve"> Counts and percentages of organizations responding “Yes” or “No” across core IDEA audit items, including policy presence, leadership diversity data reporting, recruitment practices, accommodation processes, employee resources, complaint mechanisms, and commitments to physical/digital accessibility standards. Denominator for all items is 114 organizations.</w:t>
      </w:r>
    </w:p>
    <w:p w14:paraId="5A2B0022" w14:textId="612E1FE4" w:rsidR="00556FAB" w:rsidRPr="00556FAB" w:rsidRDefault="00556FAB" w:rsidP="00556FAB">
      <w:pPr>
        <w:pStyle w:val="BodyCopy"/>
      </w:pPr>
      <w:r w:rsidRPr="00556FAB">
        <w:t>Several notable insights can be drawn from Table 1. First, a very high proportion of these large companies</w:t>
      </w:r>
      <w:r w:rsidR="00336020" w:rsidRPr="005251E7">
        <w:t xml:space="preserve">, </w:t>
      </w:r>
      <w:r w:rsidRPr="00556FAB">
        <w:t>about 92%</w:t>
      </w:r>
      <w:r w:rsidR="00336020" w:rsidRPr="005251E7">
        <w:t xml:space="preserve">, </w:t>
      </w:r>
      <w:r w:rsidRPr="00556FAB">
        <w:t xml:space="preserve">have a publicly stated diversity and inclusion policy or commitment (Q1), indicating that most are at least signaling broad support for these values. In contrast, much smaller shares of organizations communicate specific supports for employees with disabilities. For example, while 80.7% of the companies include a standard equal opportunity or non-discrimination statement in their job postings or </w:t>
      </w:r>
      <w:r w:rsidRPr="00556FAB">
        <w:lastRenderedPageBreak/>
        <w:t xml:space="preserve">career pages (a common legal compliance practice), only 48.2% proactively mention that accommodations are available in the recruitment process (Q7). Even fewer (44.7%) provide information on how to request such accommodations during hiring (Q7.1). This suggests that roughly half of the organizations do not explicitly signal to job applicants that disability-related accommodations can be requested, potentially sending a message of unpreparedness or lack of priority for accommodating disabled candidates. </w:t>
      </w:r>
    </w:p>
    <w:p w14:paraId="3EB10047" w14:textId="7433EA99" w:rsidR="00556FAB" w:rsidRPr="00556FAB" w:rsidRDefault="00556FAB" w:rsidP="00556FAB">
      <w:pPr>
        <w:pStyle w:val="BodyCopy"/>
      </w:pPr>
      <w:r w:rsidRPr="00556FAB">
        <w:t>Similarly, less than half (45.6%) of the companies publicly indicate that workplace accommodations are available for employees with disabilities (Q14). A majority of organizations (54.4%) provide no public information on how they support employees who might need accommodations on the job. Moreover, while internal employee networks are prevalent</w:t>
      </w:r>
      <w:r w:rsidR="00A244F3">
        <w:t xml:space="preserve">, </w:t>
      </w:r>
      <w:r w:rsidRPr="00556FAB">
        <w:t>about 77% of companies reference having Employee Resource Groups (ERGs) or affinity groups for employees (covering any dimension of diversity)</w:t>
      </w:r>
      <w:r w:rsidR="00A244F3">
        <w:t xml:space="preserve">, </w:t>
      </w:r>
      <w:r w:rsidRPr="00556FAB">
        <w:t>only 29.8% describe a formal complaint or grievance process for discrimination or bias concerns (Q17). The relative absence of public-facing information on complaint mechanisms is noteworthy: it implies that while companies eagerly promote diversity as a strength, most stop short of advertising how they handle problems or hold themselves accountable when inclusion issues arise. This could signal a potential accountability gap in organizational commitment to IDEA principles</w:t>
      </w:r>
      <w:r w:rsidR="00A244F3">
        <w:t xml:space="preserve">, </w:t>
      </w:r>
      <w:r w:rsidRPr="00556FAB">
        <w:t xml:space="preserve">an issue taken up later in this chapter’s Organizational Signaling Interpretation section. </w:t>
      </w:r>
    </w:p>
    <w:p w14:paraId="27647B29" w14:textId="0AE53EA0" w:rsidR="00556FAB" w:rsidRPr="00556FAB" w:rsidRDefault="00556FAB" w:rsidP="00556FAB">
      <w:pPr>
        <w:pStyle w:val="BodyCopy"/>
      </w:pPr>
      <w:r w:rsidRPr="00556FAB">
        <w:t>Another critical finding is the imbalance between accessibility and other IDEA elements. Only about 34.2% of companies publicly commit to following physical accessibility standards (Q21)</w:t>
      </w:r>
      <w:r w:rsidR="00A244F3">
        <w:t xml:space="preserve">, </w:t>
      </w:r>
      <w:r w:rsidRPr="00556FAB">
        <w:t xml:space="preserve">for instance, referencing architectural accessibility guidelines or building codes on their websites. A slightly higher proportion, 47.4%, mention adherence to digital accessibility standards (e.g., web accessibility standards for online content) (Q22). These figures reveal that more than half of the companies do not outwardly declare that their physical workplaces or digital properties meet recognized </w:t>
      </w:r>
      <w:r w:rsidRPr="00556FAB">
        <w:lastRenderedPageBreak/>
        <w:t>accessibility criteria. Even among those that do, the commitment is often framed in terms of compliance with laws or standards (e.g., stating that facilities are “ADA compliant” or websites follow “WCAG 2.0 guidelines”), rather than as part of a broader inclusion mission (Final Write-Up, 2024). Additionally, only a very small subset go further to mention universal design or inclusive design aspirations – the Data Appendix indicates that roughly 1 in 10 companies allude to going beyond minimum standards to proactively create barrier-free environments (Data Appendix, 2024). This underscores a trend: digital accessibility is beginning to receive attention, but universal design and proactive accessibility commitments remain rare.</w:t>
      </w:r>
      <w:r w:rsidR="00DE0A96" w:rsidRPr="00A244F3">
        <w:t xml:space="preserve"> </w:t>
      </w:r>
    </w:p>
    <w:p w14:paraId="54D5A5CA" w14:textId="63E0E93B" w:rsidR="00556FAB" w:rsidRPr="00556FAB" w:rsidRDefault="00556FAB" w:rsidP="00556FAB">
      <w:pPr>
        <w:pStyle w:val="BodyCopy"/>
      </w:pPr>
      <w:r w:rsidRPr="00556FAB">
        <w:t>To put the high-level commitment gap in perspective, Figure 1 illustrates the stark difference in how frequently organizations mention each of the IDEA pillars in their public-facing diversity or values statements. Table 2 provides the underlying numbers in terms of the percentage of organizations (out of the 105 with an IDEA-related policy) that explicitly reference each pillar.</w:t>
      </w:r>
    </w:p>
    <w:p w14:paraId="54F9E912" w14:textId="3AD107FA" w:rsidR="00556FAB" w:rsidRPr="00556FAB" w:rsidRDefault="002A0FF1" w:rsidP="002A0FF1">
      <w:pPr>
        <w:pStyle w:val="BodyCopy"/>
      </w:pPr>
      <w:r w:rsidRPr="002A0FF1">
        <w:rPr>
          <w:b/>
          <w:bCs/>
        </w:rPr>
        <w:t xml:space="preserve">Table </w:t>
      </w:r>
      <w:r w:rsidRPr="002A0FF1">
        <w:rPr>
          <w:b/>
          <w:bCs/>
        </w:rPr>
        <w:fldChar w:fldCharType="begin"/>
      </w:r>
      <w:r w:rsidRPr="002A0FF1">
        <w:rPr>
          <w:b/>
          <w:bCs/>
        </w:rPr>
        <w:instrText xml:space="preserve"> SEQ Table \* ARABIC </w:instrText>
      </w:r>
      <w:r w:rsidRPr="002A0FF1">
        <w:rPr>
          <w:b/>
          <w:bCs/>
        </w:rPr>
        <w:fldChar w:fldCharType="separate"/>
      </w:r>
      <w:r w:rsidR="00397FFE">
        <w:rPr>
          <w:b/>
          <w:bCs/>
          <w:noProof/>
        </w:rPr>
        <w:t>2</w:t>
      </w:r>
      <w:r w:rsidRPr="002A0FF1">
        <w:rPr>
          <w:b/>
          <w:bCs/>
        </w:rPr>
        <w:fldChar w:fldCharType="end"/>
      </w:r>
      <w:r w:rsidRPr="002A0FF1">
        <w:rPr>
          <w:b/>
          <w:bCs/>
        </w:rPr>
        <w:t>.</w:t>
      </w:r>
      <w:r w:rsidRPr="00EE45AC">
        <w:t xml:space="preserve"> Pillar Emphasis in Public-Facing IDEA Policies (among 105 organizations with a written IDEA policy)</w:t>
      </w:r>
    </w:p>
    <w:tbl>
      <w:tblPr>
        <w:tblStyle w:val="TableGrid"/>
        <w:tblW w:w="0" w:type="auto"/>
        <w:tblLook w:val="04A0" w:firstRow="1" w:lastRow="0" w:firstColumn="1" w:lastColumn="0" w:noHBand="0" w:noVBand="1"/>
        <w:tblCaption w:val="Table 2. Pillar Emphasis in Public-Facing IDEA Policies (among 105 organizations with a written IDEA policy)"/>
        <w:tblDescription w:val="Table showing that 82.8% of organizations with a policy mention Diversity, 62.9% mention Inclusion, 41.9% mention Equity, 14.3% mention Accessibility, and 9.5% have a policy with no specific IDEA pillars mentioned."/>
      </w:tblPr>
      <w:tblGrid>
        <w:gridCol w:w="5295"/>
        <w:gridCol w:w="2329"/>
        <w:gridCol w:w="1726"/>
      </w:tblGrid>
      <w:tr w:rsidR="00C664EF" w:rsidRPr="00556FAB" w14:paraId="2DEE2F3C" w14:textId="77777777" w:rsidTr="003A08AF">
        <w:trPr>
          <w:tblHeader/>
        </w:trPr>
        <w:tc>
          <w:tcPr>
            <w:tcW w:w="0" w:type="auto"/>
            <w:shd w:val="clear" w:color="auto" w:fill="FFF200"/>
            <w:hideMark/>
          </w:tcPr>
          <w:p w14:paraId="126F4AC8" w14:textId="77777777" w:rsidR="00556FAB" w:rsidRPr="00556FAB" w:rsidRDefault="00556FAB" w:rsidP="00556FAB">
            <w:pPr>
              <w:pStyle w:val="BodyCopy"/>
              <w:rPr>
                <w:b/>
                <w:bCs/>
              </w:rPr>
            </w:pPr>
            <w:r w:rsidRPr="00556FAB">
              <w:rPr>
                <w:b/>
                <w:bCs/>
              </w:rPr>
              <w:t>IDEA Pillar Mentioned in Policy</w:t>
            </w:r>
          </w:p>
        </w:tc>
        <w:tc>
          <w:tcPr>
            <w:tcW w:w="0" w:type="auto"/>
            <w:shd w:val="clear" w:color="auto" w:fill="FFF200"/>
            <w:hideMark/>
          </w:tcPr>
          <w:p w14:paraId="52949C11" w14:textId="77777777" w:rsidR="00556FAB" w:rsidRPr="00556FAB" w:rsidRDefault="00556FAB" w:rsidP="001B71DB">
            <w:pPr>
              <w:pStyle w:val="BodyCopy"/>
              <w:jc w:val="center"/>
              <w:rPr>
                <w:b/>
                <w:bCs/>
              </w:rPr>
            </w:pPr>
            <w:r w:rsidRPr="00556FAB">
              <w:rPr>
                <w:b/>
                <w:bCs/>
              </w:rPr>
              <w:t>Organizations (n)</w:t>
            </w:r>
          </w:p>
        </w:tc>
        <w:tc>
          <w:tcPr>
            <w:tcW w:w="0" w:type="auto"/>
            <w:shd w:val="clear" w:color="auto" w:fill="FFF200"/>
            <w:hideMark/>
          </w:tcPr>
          <w:p w14:paraId="2A3427F8" w14:textId="77777777" w:rsidR="00556FAB" w:rsidRPr="00556FAB" w:rsidRDefault="00556FAB" w:rsidP="001B71DB">
            <w:pPr>
              <w:pStyle w:val="BodyCopy"/>
              <w:jc w:val="center"/>
              <w:rPr>
                <w:b/>
                <w:bCs/>
              </w:rPr>
            </w:pPr>
            <w:r w:rsidRPr="00556FAB">
              <w:rPr>
                <w:b/>
                <w:bCs/>
              </w:rPr>
              <w:t>Percentage</w:t>
            </w:r>
          </w:p>
        </w:tc>
      </w:tr>
      <w:tr w:rsidR="00C664EF" w:rsidRPr="00556FAB" w14:paraId="4C8E264B" w14:textId="77777777" w:rsidTr="003A08AF">
        <w:tc>
          <w:tcPr>
            <w:tcW w:w="0" w:type="auto"/>
            <w:shd w:val="clear" w:color="auto" w:fill="FFF200"/>
            <w:hideMark/>
          </w:tcPr>
          <w:p w14:paraId="2596D7FB" w14:textId="77777777" w:rsidR="00556FAB" w:rsidRPr="00556FAB" w:rsidRDefault="00556FAB" w:rsidP="00556FAB">
            <w:pPr>
              <w:pStyle w:val="BodyCopy"/>
              <w:rPr>
                <w:b/>
                <w:bCs/>
              </w:rPr>
            </w:pPr>
            <w:r w:rsidRPr="00556FAB">
              <w:rPr>
                <w:b/>
                <w:bCs/>
              </w:rPr>
              <w:t>Diversity</w:t>
            </w:r>
          </w:p>
        </w:tc>
        <w:tc>
          <w:tcPr>
            <w:tcW w:w="0" w:type="auto"/>
            <w:hideMark/>
          </w:tcPr>
          <w:p w14:paraId="26E88117" w14:textId="77777777" w:rsidR="00556FAB" w:rsidRPr="00556FAB" w:rsidRDefault="00556FAB" w:rsidP="001B71DB">
            <w:pPr>
              <w:pStyle w:val="BodyCopy"/>
              <w:jc w:val="center"/>
            </w:pPr>
            <w:r w:rsidRPr="00556FAB">
              <w:t>87</w:t>
            </w:r>
          </w:p>
        </w:tc>
        <w:tc>
          <w:tcPr>
            <w:tcW w:w="0" w:type="auto"/>
            <w:hideMark/>
          </w:tcPr>
          <w:p w14:paraId="40AD1F14" w14:textId="1AE0740F" w:rsidR="00556FAB" w:rsidRPr="00556FAB" w:rsidRDefault="00556FAB" w:rsidP="001B71DB">
            <w:pPr>
              <w:pStyle w:val="BodyCopy"/>
              <w:jc w:val="center"/>
            </w:pPr>
            <w:r w:rsidRPr="00556FAB">
              <w:t>82.8%</w:t>
            </w:r>
          </w:p>
        </w:tc>
      </w:tr>
      <w:tr w:rsidR="00C664EF" w:rsidRPr="00556FAB" w14:paraId="6BFA87EC" w14:textId="77777777" w:rsidTr="003A08AF">
        <w:tc>
          <w:tcPr>
            <w:tcW w:w="0" w:type="auto"/>
            <w:shd w:val="clear" w:color="auto" w:fill="FFF200"/>
            <w:hideMark/>
          </w:tcPr>
          <w:p w14:paraId="045FF7E5" w14:textId="77777777" w:rsidR="00556FAB" w:rsidRPr="00556FAB" w:rsidRDefault="00556FAB" w:rsidP="00556FAB">
            <w:pPr>
              <w:pStyle w:val="BodyCopy"/>
              <w:rPr>
                <w:b/>
                <w:bCs/>
              </w:rPr>
            </w:pPr>
            <w:r w:rsidRPr="00556FAB">
              <w:rPr>
                <w:b/>
                <w:bCs/>
              </w:rPr>
              <w:t>Inclusion</w:t>
            </w:r>
          </w:p>
        </w:tc>
        <w:tc>
          <w:tcPr>
            <w:tcW w:w="0" w:type="auto"/>
            <w:hideMark/>
          </w:tcPr>
          <w:p w14:paraId="70B5CE33" w14:textId="77777777" w:rsidR="00556FAB" w:rsidRPr="00556FAB" w:rsidRDefault="00556FAB" w:rsidP="001B71DB">
            <w:pPr>
              <w:pStyle w:val="BodyCopy"/>
              <w:jc w:val="center"/>
            </w:pPr>
            <w:r w:rsidRPr="00556FAB">
              <w:t>66</w:t>
            </w:r>
          </w:p>
        </w:tc>
        <w:tc>
          <w:tcPr>
            <w:tcW w:w="0" w:type="auto"/>
            <w:hideMark/>
          </w:tcPr>
          <w:p w14:paraId="09B47BB5" w14:textId="2FD12EAE" w:rsidR="00556FAB" w:rsidRPr="00556FAB" w:rsidRDefault="00556FAB" w:rsidP="001B71DB">
            <w:pPr>
              <w:pStyle w:val="BodyCopy"/>
              <w:jc w:val="center"/>
            </w:pPr>
            <w:r w:rsidRPr="00556FAB">
              <w:t>62.9%</w:t>
            </w:r>
          </w:p>
        </w:tc>
      </w:tr>
      <w:tr w:rsidR="00C664EF" w:rsidRPr="00556FAB" w14:paraId="536B21B1" w14:textId="77777777" w:rsidTr="003A08AF">
        <w:tc>
          <w:tcPr>
            <w:tcW w:w="0" w:type="auto"/>
            <w:shd w:val="clear" w:color="auto" w:fill="FFF200"/>
            <w:hideMark/>
          </w:tcPr>
          <w:p w14:paraId="053D5948" w14:textId="77777777" w:rsidR="00556FAB" w:rsidRPr="00556FAB" w:rsidRDefault="00556FAB" w:rsidP="00556FAB">
            <w:pPr>
              <w:pStyle w:val="BodyCopy"/>
              <w:rPr>
                <w:b/>
                <w:bCs/>
              </w:rPr>
            </w:pPr>
            <w:r w:rsidRPr="00556FAB">
              <w:rPr>
                <w:b/>
                <w:bCs/>
              </w:rPr>
              <w:t>Equity</w:t>
            </w:r>
          </w:p>
        </w:tc>
        <w:tc>
          <w:tcPr>
            <w:tcW w:w="0" w:type="auto"/>
            <w:hideMark/>
          </w:tcPr>
          <w:p w14:paraId="1D96CC0A" w14:textId="77777777" w:rsidR="00556FAB" w:rsidRPr="00556FAB" w:rsidRDefault="00556FAB" w:rsidP="001B71DB">
            <w:pPr>
              <w:pStyle w:val="BodyCopy"/>
              <w:jc w:val="center"/>
            </w:pPr>
            <w:r w:rsidRPr="00556FAB">
              <w:t>44</w:t>
            </w:r>
          </w:p>
        </w:tc>
        <w:tc>
          <w:tcPr>
            <w:tcW w:w="0" w:type="auto"/>
            <w:hideMark/>
          </w:tcPr>
          <w:p w14:paraId="3D1E6DE8" w14:textId="06F88AC7" w:rsidR="00556FAB" w:rsidRPr="00556FAB" w:rsidRDefault="00556FAB" w:rsidP="001B71DB">
            <w:pPr>
              <w:pStyle w:val="BodyCopy"/>
              <w:jc w:val="center"/>
            </w:pPr>
            <w:r w:rsidRPr="00556FAB">
              <w:t>41.9%</w:t>
            </w:r>
          </w:p>
        </w:tc>
      </w:tr>
      <w:tr w:rsidR="00C664EF" w:rsidRPr="00556FAB" w14:paraId="51B92C79" w14:textId="77777777" w:rsidTr="003A08AF">
        <w:tc>
          <w:tcPr>
            <w:tcW w:w="0" w:type="auto"/>
            <w:shd w:val="clear" w:color="auto" w:fill="FFF200"/>
            <w:hideMark/>
          </w:tcPr>
          <w:p w14:paraId="4FF856EC" w14:textId="77777777" w:rsidR="00556FAB" w:rsidRPr="00556FAB" w:rsidRDefault="00556FAB" w:rsidP="00556FAB">
            <w:pPr>
              <w:pStyle w:val="BodyCopy"/>
              <w:rPr>
                <w:b/>
                <w:bCs/>
              </w:rPr>
            </w:pPr>
            <w:r w:rsidRPr="00556FAB">
              <w:rPr>
                <w:b/>
                <w:bCs/>
              </w:rPr>
              <w:t>Accessibility</w:t>
            </w:r>
          </w:p>
        </w:tc>
        <w:tc>
          <w:tcPr>
            <w:tcW w:w="0" w:type="auto"/>
            <w:hideMark/>
          </w:tcPr>
          <w:p w14:paraId="052B6A7D" w14:textId="77777777" w:rsidR="00556FAB" w:rsidRPr="00556FAB" w:rsidRDefault="00556FAB" w:rsidP="001B71DB">
            <w:pPr>
              <w:pStyle w:val="BodyCopy"/>
              <w:jc w:val="center"/>
            </w:pPr>
            <w:r w:rsidRPr="00556FAB">
              <w:t>15</w:t>
            </w:r>
          </w:p>
        </w:tc>
        <w:tc>
          <w:tcPr>
            <w:tcW w:w="0" w:type="auto"/>
            <w:hideMark/>
          </w:tcPr>
          <w:p w14:paraId="6DA0ED36" w14:textId="07F0A54D" w:rsidR="00556FAB" w:rsidRPr="00556FAB" w:rsidRDefault="00556FAB" w:rsidP="001B71DB">
            <w:pPr>
              <w:pStyle w:val="BodyCopy"/>
              <w:jc w:val="center"/>
            </w:pPr>
            <w:r w:rsidRPr="00556FAB">
              <w:t>14.3%</w:t>
            </w:r>
          </w:p>
        </w:tc>
      </w:tr>
      <w:tr w:rsidR="00BC45B3" w:rsidRPr="00556FAB" w14:paraId="11452CF3" w14:textId="77777777" w:rsidTr="003A08AF">
        <w:tc>
          <w:tcPr>
            <w:tcW w:w="0" w:type="auto"/>
            <w:shd w:val="clear" w:color="auto" w:fill="FFF200"/>
            <w:hideMark/>
          </w:tcPr>
          <w:p w14:paraId="47EC0189" w14:textId="77777777" w:rsidR="00556FAB" w:rsidRPr="00556FAB" w:rsidRDefault="00556FAB" w:rsidP="00556FAB">
            <w:pPr>
              <w:pStyle w:val="BodyCopy"/>
            </w:pPr>
            <w:r w:rsidRPr="00556FAB">
              <w:rPr>
                <w:i/>
                <w:iCs/>
              </w:rPr>
              <w:lastRenderedPageBreak/>
              <w:t>None of the above</w:t>
            </w:r>
            <w:r w:rsidRPr="00556FAB">
              <w:t xml:space="preserve"> (policy exists but no specific pillars named)</w:t>
            </w:r>
          </w:p>
        </w:tc>
        <w:tc>
          <w:tcPr>
            <w:tcW w:w="0" w:type="auto"/>
            <w:hideMark/>
          </w:tcPr>
          <w:p w14:paraId="4403CDF8" w14:textId="77777777" w:rsidR="00556FAB" w:rsidRPr="00556FAB" w:rsidRDefault="00556FAB" w:rsidP="001B71DB">
            <w:pPr>
              <w:pStyle w:val="BodyCopy"/>
              <w:jc w:val="center"/>
            </w:pPr>
            <w:r w:rsidRPr="00556FAB">
              <w:t>10</w:t>
            </w:r>
          </w:p>
        </w:tc>
        <w:tc>
          <w:tcPr>
            <w:tcW w:w="0" w:type="auto"/>
            <w:hideMark/>
          </w:tcPr>
          <w:p w14:paraId="61017DD5" w14:textId="36022682" w:rsidR="00556FAB" w:rsidRPr="00556FAB" w:rsidRDefault="00556FAB" w:rsidP="001B71DB">
            <w:pPr>
              <w:pStyle w:val="BodyCopy"/>
              <w:jc w:val="center"/>
            </w:pPr>
            <w:r w:rsidRPr="00556FAB">
              <w:t>9.5%</w:t>
            </w:r>
          </w:p>
        </w:tc>
      </w:tr>
    </w:tbl>
    <w:p w14:paraId="396026B4" w14:textId="67DC6C2F" w:rsidR="00556FAB" w:rsidRPr="00556FAB" w:rsidRDefault="00132FDE" w:rsidP="00556FAB">
      <w:pPr>
        <w:pStyle w:val="BodyCopy"/>
      </w:pPr>
      <w:r>
        <w:rPr>
          <w:b/>
          <w:bCs/>
        </w:rPr>
        <w:t xml:space="preserve">Table </w:t>
      </w:r>
      <w:r w:rsidR="00556FAB" w:rsidRPr="00556FAB">
        <w:rPr>
          <w:b/>
          <w:bCs/>
        </w:rPr>
        <w:t>Caption:</w:t>
      </w:r>
      <w:r w:rsidR="00556FAB" w:rsidRPr="00556FAB">
        <w:t xml:space="preserve"> </w:t>
      </w:r>
      <w:r w:rsidR="00556FAB" w:rsidRPr="00556FAB">
        <w:rPr>
          <w:i/>
          <w:iCs/>
        </w:rPr>
        <w:t>Distribution of IDEA pillars explicitly mentioned in organizations’ public diversity/inclusion policies or statements.</w:t>
      </w:r>
      <w:r w:rsidR="00556FAB" w:rsidRPr="00556FAB">
        <w:t xml:space="preserve"> Of 105 companies that have an IDEA-related policy, the vast majority mention “diversity” and “inclusion,” roughly half mention “equity,” and fewer than one in six mention “accessibility” as a core value or goal.</w:t>
      </w:r>
    </w:p>
    <w:p w14:paraId="38B98F3F" w14:textId="22FC8E44" w:rsidR="00556FAB" w:rsidRPr="00556FAB" w:rsidRDefault="00556FAB" w:rsidP="00556FAB">
      <w:pPr>
        <w:pStyle w:val="BodyCopy"/>
      </w:pPr>
      <w:r w:rsidRPr="00556FAB">
        <w:t xml:space="preserve">The extremely low rate of accessibility mentions (14.3%) in corporate diversity statements is striking, especially in comparison to diversity (82.8%) and inclusion (62.9%). In practice, this means that while nearly every company in our sample publishes a broad commitment to diversity and inclusion, only a handful explicitly incorporate disability-accessibility into those commitments. “Equity” occupies a middle ground (42% mention rate) – often featured in “D&amp;I” statements that have evolved into “D,E&amp;I” – but even equity is markedly less cited than diversity. Accessibility, however, clearly lags the other three pillars. This hierarchy of emphasis suggests that corporate messaging about diversity and inclusion has not yet fully extended to disability and accessibility. The reasons might include organizational and historical silos: many companies appear to associate “diversity and inclusion” primarily with demographics like race and gender, whereas </w:t>
      </w:r>
      <w:r w:rsidRPr="00556FAB">
        <w:rPr>
          <w:i/>
          <w:iCs/>
        </w:rPr>
        <w:t>accessibility</w:t>
      </w:r>
      <w:r w:rsidRPr="00556FAB">
        <w:t xml:space="preserve"> is sometimes handled by separate teams focusing on compliance with laws and technical standards (e.g., building codes, web accessibility guidelines). As a result, accessibility may be viewed as a technical requirement or a matter of legal compliance, rather than as an integral part of a holistic inclusion strategy. From a signaling standpoint, the omission of accessibility from high-level diversity statements could signal to </w:t>
      </w:r>
      <w:r w:rsidRPr="00556FAB">
        <w:lastRenderedPageBreak/>
        <w:t>external audiences</w:t>
      </w:r>
      <w:r w:rsidR="008617AE">
        <w:t>,</w:t>
      </w:r>
      <w:r w:rsidRPr="00556FAB">
        <w:t xml:space="preserve"> intentionally or not</w:t>
      </w:r>
      <w:r w:rsidR="00215436">
        <w:t>,</w:t>
      </w:r>
      <w:r w:rsidRPr="00556FAB">
        <w:t xml:space="preserve"> that disability inclusion is not yet a core component of the corporate culture. </w:t>
      </w:r>
    </w:p>
    <w:p w14:paraId="41B94525" w14:textId="3C3CDBED" w:rsidR="00556FAB" w:rsidRPr="00556FAB" w:rsidRDefault="00556FAB" w:rsidP="00556FAB">
      <w:pPr>
        <w:pStyle w:val="BodyCopy"/>
      </w:pPr>
      <w:r w:rsidRPr="00556FAB">
        <w:t>The audit findings on leadership diversity disclosures reinforce the notion that most organizations define “diversity” in a limited way, concentrating on gender and race. Among the 89 companies (78% of the sample) that published some form of leadership diversity data (e.g. in annual reports or ESG disclosures), nearly all of them reported gender diversity (86 companies) and racial/ethnic diversity (82 companies) in leadership ranks. In stark contrast, only 11 companies reported the representation of people with disabilities in leadership, and similarly low numbers reported on other dimensions such as Indigenous peoples (14 companies), veterans (8), or LGBTQ+ (7) in leadership. Table 3 details the frequency of each reported category. This means that even when organizations do collect and share diversity metrics, the focus tends to remain on a narrow set of categories (gender and race/ethnicity), with disability status and other identity dimensions often omitted or untracked. The absence of disability in particular from most leadership diversity reports may convey a message that disability inclusion is not being measured or prioritized at leadership levels</w:t>
      </w:r>
      <w:r w:rsidR="00C114AE">
        <w:t xml:space="preserve">, </w:t>
      </w:r>
      <w:r w:rsidRPr="00556FAB">
        <w:t xml:space="preserve">a potentially concerning signal to employees and stakeholders who value that dimension of diversity. </w:t>
      </w:r>
    </w:p>
    <w:p w14:paraId="7B9E6D70" w14:textId="4508873D" w:rsidR="00556FAB" w:rsidRPr="00556FAB" w:rsidRDefault="002A0FF1" w:rsidP="00964054">
      <w:pPr>
        <w:pStyle w:val="BodyCopy"/>
      </w:pPr>
      <w:r w:rsidRPr="00964054">
        <w:rPr>
          <w:b/>
          <w:bCs/>
        </w:rPr>
        <w:t xml:space="preserve">Table </w:t>
      </w:r>
      <w:r w:rsidRPr="00964054">
        <w:rPr>
          <w:b/>
          <w:bCs/>
        </w:rPr>
        <w:fldChar w:fldCharType="begin"/>
      </w:r>
      <w:r w:rsidRPr="00964054">
        <w:rPr>
          <w:b/>
          <w:bCs/>
        </w:rPr>
        <w:instrText xml:space="preserve"> SEQ Table \* ARABIC </w:instrText>
      </w:r>
      <w:r w:rsidRPr="00964054">
        <w:rPr>
          <w:b/>
          <w:bCs/>
        </w:rPr>
        <w:fldChar w:fldCharType="separate"/>
      </w:r>
      <w:r w:rsidR="00397FFE">
        <w:rPr>
          <w:b/>
          <w:bCs/>
          <w:noProof/>
        </w:rPr>
        <w:t>3</w:t>
      </w:r>
      <w:r w:rsidRPr="00964054">
        <w:rPr>
          <w:b/>
          <w:bCs/>
        </w:rPr>
        <w:fldChar w:fldCharType="end"/>
      </w:r>
      <w:r w:rsidRPr="00964054">
        <w:rPr>
          <w:b/>
          <w:bCs/>
        </w:rPr>
        <w:t>.</w:t>
      </w:r>
      <w:r>
        <w:t xml:space="preserve"> </w:t>
      </w:r>
      <w:r w:rsidRPr="00B57285">
        <w:t>Leadership Diversity Categories Reported (among 105 organizations that published leadership diversity data)</w:t>
      </w:r>
    </w:p>
    <w:tbl>
      <w:tblPr>
        <w:tblStyle w:val="TableGrid"/>
        <w:tblW w:w="0" w:type="auto"/>
        <w:tblLook w:val="0420" w:firstRow="1" w:lastRow="0" w:firstColumn="0" w:lastColumn="0" w:noHBand="0" w:noVBand="1"/>
        <w:tblCaption w:val="Table 3. Leadership Diversity Categories Reported"/>
        <w:tblDescription w:val="Table with 10 categories of leadership diversity and the count of companies reporting each. Counts are highest for Gender (86) and Race/Ethnicity (82), and very low for Disability (11), Indigenous (14), Veteran (8), LGBTQ+ (7), and zero for Immigration status."/>
      </w:tblPr>
      <w:tblGrid>
        <w:gridCol w:w="5213"/>
        <w:gridCol w:w="4137"/>
      </w:tblGrid>
      <w:tr w:rsidR="008F1F2D" w:rsidRPr="00556FAB" w14:paraId="64D8D314" w14:textId="77777777" w:rsidTr="00994626">
        <w:trPr>
          <w:trHeight w:val="854"/>
          <w:tblHeader/>
        </w:trPr>
        <w:tc>
          <w:tcPr>
            <w:tcW w:w="0" w:type="auto"/>
            <w:shd w:val="clear" w:color="auto" w:fill="FFF200"/>
            <w:hideMark/>
          </w:tcPr>
          <w:p w14:paraId="07D94918" w14:textId="77777777" w:rsidR="00556FAB" w:rsidRPr="00556FAB" w:rsidRDefault="00556FAB" w:rsidP="00556FAB">
            <w:pPr>
              <w:pStyle w:val="BodyCopy"/>
              <w:rPr>
                <w:b/>
                <w:bCs/>
              </w:rPr>
            </w:pPr>
            <w:r w:rsidRPr="00556FAB">
              <w:rPr>
                <w:b/>
                <w:bCs/>
              </w:rPr>
              <w:t>Leadership Diversity Category</w:t>
            </w:r>
          </w:p>
        </w:tc>
        <w:tc>
          <w:tcPr>
            <w:tcW w:w="0" w:type="auto"/>
            <w:shd w:val="clear" w:color="auto" w:fill="FFF200"/>
            <w:hideMark/>
          </w:tcPr>
          <w:p w14:paraId="35D5C44F" w14:textId="77777777" w:rsidR="00556FAB" w:rsidRPr="00556FAB" w:rsidRDefault="00556FAB" w:rsidP="00556FAB">
            <w:pPr>
              <w:pStyle w:val="BodyCopy"/>
              <w:rPr>
                <w:b/>
                <w:bCs/>
              </w:rPr>
            </w:pPr>
            <w:r w:rsidRPr="00556FAB">
              <w:rPr>
                <w:b/>
                <w:bCs/>
              </w:rPr>
              <w:t>Number of Companies Reporting</w:t>
            </w:r>
          </w:p>
        </w:tc>
      </w:tr>
      <w:tr w:rsidR="008F1F2D" w:rsidRPr="00556FAB" w14:paraId="163E830E" w14:textId="77777777" w:rsidTr="00994626">
        <w:trPr>
          <w:trHeight w:val="737"/>
        </w:trPr>
        <w:tc>
          <w:tcPr>
            <w:tcW w:w="0" w:type="auto"/>
            <w:shd w:val="clear" w:color="auto" w:fill="FFF200"/>
            <w:hideMark/>
          </w:tcPr>
          <w:p w14:paraId="6D2691EF" w14:textId="77777777" w:rsidR="00556FAB" w:rsidRPr="00556FAB" w:rsidRDefault="00556FAB" w:rsidP="00556FAB">
            <w:pPr>
              <w:pStyle w:val="BodyCopy"/>
              <w:rPr>
                <w:b/>
                <w:bCs/>
              </w:rPr>
            </w:pPr>
            <w:r w:rsidRPr="00556FAB">
              <w:rPr>
                <w:b/>
                <w:bCs/>
              </w:rPr>
              <w:t>Gender</w:t>
            </w:r>
          </w:p>
        </w:tc>
        <w:tc>
          <w:tcPr>
            <w:tcW w:w="0" w:type="auto"/>
            <w:hideMark/>
          </w:tcPr>
          <w:p w14:paraId="7BB97EB3" w14:textId="1D1B0D72" w:rsidR="00556FAB" w:rsidRPr="00556FAB" w:rsidRDefault="00556FAB" w:rsidP="00132FDE">
            <w:pPr>
              <w:pStyle w:val="BodyCopy"/>
              <w:jc w:val="center"/>
            </w:pPr>
            <w:r w:rsidRPr="00556FAB">
              <w:t>86</w:t>
            </w:r>
          </w:p>
        </w:tc>
      </w:tr>
      <w:tr w:rsidR="008F1F2D" w:rsidRPr="00556FAB" w14:paraId="5AC6FFC6" w14:textId="77777777" w:rsidTr="00994626">
        <w:trPr>
          <w:trHeight w:val="737"/>
        </w:trPr>
        <w:tc>
          <w:tcPr>
            <w:tcW w:w="0" w:type="auto"/>
            <w:shd w:val="clear" w:color="auto" w:fill="FFF200"/>
            <w:hideMark/>
          </w:tcPr>
          <w:p w14:paraId="77366475" w14:textId="77777777" w:rsidR="00556FAB" w:rsidRPr="00556FAB" w:rsidRDefault="00556FAB" w:rsidP="00556FAB">
            <w:pPr>
              <w:pStyle w:val="BodyCopy"/>
              <w:rPr>
                <w:b/>
                <w:bCs/>
              </w:rPr>
            </w:pPr>
            <w:r w:rsidRPr="00556FAB">
              <w:rPr>
                <w:b/>
                <w:bCs/>
              </w:rPr>
              <w:t>Race or Ethnicity</w:t>
            </w:r>
          </w:p>
        </w:tc>
        <w:tc>
          <w:tcPr>
            <w:tcW w:w="0" w:type="auto"/>
            <w:hideMark/>
          </w:tcPr>
          <w:p w14:paraId="7CB8DB6E" w14:textId="72936F20" w:rsidR="00556FAB" w:rsidRPr="00556FAB" w:rsidRDefault="00556FAB" w:rsidP="00132FDE">
            <w:pPr>
              <w:pStyle w:val="BodyCopy"/>
              <w:jc w:val="center"/>
            </w:pPr>
            <w:r w:rsidRPr="00556FAB">
              <w:t>82</w:t>
            </w:r>
          </w:p>
        </w:tc>
      </w:tr>
      <w:tr w:rsidR="008F1F2D" w:rsidRPr="00556FAB" w14:paraId="415E0E7E" w14:textId="77777777" w:rsidTr="00994626">
        <w:trPr>
          <w:trHeight w:val="566"/>
        </w:trPr>
        <w:tc>
          <w:tcPr>
            <w:tcW w:w="0" w:type="auto"/>
            <w:shd w:val="clear" w:color="auto" w:fill="FFF200"/>
            <w:hideMark/>
          </w:tcPr>
          <w:p w14:paraId="1F4F2FAA" w14:textId="77777777" w:rsidR="00556FAB" w:rsidRPr="007069B0" w:rsidRDefault="00556FAB" w:rsidP="00556FAB">
            <w:pPr>
              <w:pStyle w:val="BodyCopy"/>
              <w:rPr>
                <w:b/>
                <w:bCs/>
                <w:lang w:val="fr-CA"/>
              </w:rPr>
            </w:pPr>
            <w:r w:rsidRPr="007069B0">
              <w:rPr>
                <w:b/>
                <w:bCs/>
                <w:lang w:val="fr-CA"/>
              </w:rPr>
              <w:lastRenderedPageBreak/>
              <w:t>Indigenous (e.g. First Nations, Métis, Inuit)</w:t>
            </w:r>
          </w:p>
        </w:tc>
        <w:tc>
          <w:tcPr>
            <w:tcW w:w="0" w:type="auto"/>
            <w:hideMark/>
          </w:tcPr>
          <w:p w14:paraId="3BE45357" w14:textId="7B3D1D21" w:rsidR="00556FAB" w:rsidRPr="00556FAB" w:rsidRDefault="00556FAB" w:rsidP="00132FDE">
            <w:pPr>
              <w:pStyle w:val="BodyCopy"/>
              <w:jc w:val="center"/>
            </w:pPr>
            <w:r w:rsidRPr="00556FAB">
              <w:t>14</w:t>
            </w:r>
          </w:p>
        </w:tc>
      </w:tr>
      <w:tr w:rsidR="008F1F2D" w:rsidRPr="00556FAB" w14:paraId="3B3B6AC7" w14:textId="77777777" w:rsidTr="00994626">
        <w:trPr>
          <w:trHeight w:val="1285"/>
        </w:trPr>
        <w:tc>
          <w:tcPr>
            <w:tcW w:w="0" w:type="auto"/>
            <w:shd w:val="clear" w:color="auto" w:fill="FFF200"/>
            <w:hideMark/>
          </w:tcPr>
          <w:p w14:paraId="505EC21A" w14:textId="77777777" w:rsidR="00556FAB" w:rsidRPr="00556FAB" w:rsidRDefault="00556FAB" w:rsidP="00556FAB">
            <w:pPr>
              <w:pStyle w:val="BodyCopy"/>
              <w:rPr>
                <w:b/>
                <w:bCs/>
              </w:rPr>
            </w:pPr>
            <w:r w:rsidRPr="00556FAB">
              <w:rPr>
                <w:b/>
                <w:bCs/>
              </w:rPr>
              <w:t>Disability</w:t>
            </w:r>
          </w:p>
        </w:tc>
        <w:tc>
          <w:tcPr>
            <w:tcW w:w="0" w:type="auto"/>
            <w:hideMark/>
          </w:tcPr>
          <w:p w14:paraId="5E49407A" w14:textId="09AE353D" w:rsidR="00556FAB" w:rsidRPr="00556FAB" w:rsidRDefault="00556FAB" w:rsidP="00132FDE">
            <w:pPr>
              <w:pStyle w:val="BodyCopy"/>
              <w:jc w:val="center"/>
            </w:pPr>
            <w:r w:rsidRPr="00556FAB">
              <w:t>11</w:t>
            </w:r>
          </w:p>
        </w:tc>
      </w:tr>
      <w:tr w:rsidR="008F1F2D" w:rsidRPr="00556FAB" w14:paraId="321935B8" w14:textId="77777777" w:rsidTr="00994626">
        <w:trPr>
          <w:trHeight w:val="530"/>
        </w:trPr>
        <w:tc>
          <w:tcPr>
            <w:tcW w:w="0" w:type="auto"/>
            <w:shd w:val="clear" w:color="auto" w:fill="FFF200"/>
            <w:hideMark/>
          </w:tcPr>
          <w:p w14:paraId="717C21B1" w14:textId="77777777" w:rsidR="00556FAB" w:rsidRPr="00556FAB" w:rsidRDefault="00556FAB" w:rsidP="00556FAB">
            <w:pPr>
              <w:pStyle w:val="BodyCopy"/>
              <w:rPr>
                <w:b/>
                <w:bCs/>
              </w:rPr>
            </w:pPr>
            <w:r w:rsidRPr="00556FAB">
              <w:rPr>
                <w:b/>
                <w:bCs/>
              </w:rPr>
              <w:t>Veteran Status</w:t>
            </w:r>
          </w:p>
        </w:tc>
        <w:tc>
          <w:tcPr>
            <w:tcW w:w="0" w:type="auto"/>
            <w:hideMark/>
          </w:tcPr>
          <w:p w14:paraId="4225757E" w14:textId="75C7B66C" w:rsidR="00556FAB" w:rsidRPr="00556FAB" w:rsidRDefault="00556FAB" w:rsidP="00132FDE">
            <w:pPr>
              <w:pStyle w:val="BodyCopy"/>
              <w:jc w:val="center"/>
            </w:pPr>
            <w:r w:rsidRPr="00556FAB">
              <w:t>8</w:t>
            </w:r>
          </w:p>
        </w:tc>
      </w:tr>
      <w:tr w:rsidR="008F1F2D" w:rsidRPr="00556FAB" w14:paraId="2A004004" w14:textId="77777777" w:rsidTr="00994626">
        <w:trPr>
          <w:trHeight w:val="764"/>
        </w:trPr>
        <w:tc>
          <w:tcPr>
            <w:tcW w:w="0" w:type="auto"/>
            <w:shd w:val="clear" w:color="auto" w:fill="FFF200"/>
            <w:hideMark/>
          </w:tcPr>
          <w:p w14:paraId="0C2EB09C" w14:textId="77777777" w:rsidR="00556FAB" w:rsidRPr="00556FAB" w:rsidRDefault="00556FAB" w:rsidP="00556FAB">
            <w:pPr>
              <w:pStyle w:val="BodyCopy"/>
              <w:rPr>
                <w:b/>
                <w:bCs/>
              </w:rPr>
            </w:pPr>
            <w:r w:rsidRPr="00556FAB">
              <w:rPr>
                <w:b/>
                <w:bCs/>
              </w:rPr>
              <w:t>Sexual Orientation</w:t>
            </w:r>
          </w:p>
        </w:tc>
        <w:tc>
          <w:tcPr>
            <w:tcW w:w="0" w:type="auto"/>
            <w:hideMark/>
          </w:tcPr>
          <w:p w14:paraId="7639FF33" w14:textId="420931C9" w:rsidR="00556FAB" w:rsidRPr="00556FAB" w:rsidRDefault="00556FAB" w:rsidP="00132FDE">
            <w:pPr>
              <w:pStyle w:val="BodyCopy"/>
              <w:jc w:val="center"/>
            </w:pPr>
            <w:r w:rsidRPr="00556FAB">
              <w:t>7</w:t>
            </w:r>
          </w:p>
        </w:tc>
      </w:tr>
      <w:tr w:rsidR="008F1F2D" w:rsidRPr="00556FAB" w14:paraId="6FA5755D" w14:textId="77777777" w:rsidTr="00994626">
        <w:trPr>
          <w:trHeight w:val="728"/>
        </w:trPr>
        <w:tc>
          <w:tcPr>
            <w:tcW w:w="0" w:type="auto"/>
            <w:shd w:val="clear" w:color="auto" w:fill="FFF200"/>
            <w:hideMark/>
          </w:tcPr>
          <w:p w14:paraId="66A48FED" w14:textId="77777777" w:rsidR="00556FAB" w:rsidRPr="00556FAB" w:rsidRDefault="00556FAB" w:rsidP="00556FAB">
            <w:pPr>
              <w:pStyle w:val="BodyCopy"/>
              <w:rPr>
                <w:b/>
                <w:bCs/>
              </w:rPr>
            </w:pPr>
            <w:r w:rsidRPr="00556FAB">
              <w:rPr>
                <w:b/>
                <w:bCs/>
              </w:rPr>
              <w:t>Linguistic Diversity</w:t>
            </w:r>
          </w:p>
        </w:tc>
        <w:tc>
          <w:tcPr>
            <w:tcW w:w="0" w:type="auto"/>
            <w:hideMark/>
          </w:tcPr>
          <w:p w14:paraId="523252F5" w14:textId="730FD91D" w:rsidR="00556FAB" w:rsidRPr="00556FAB" w:rsidRDefault="00556FAB" w:rsidP="00132FDE">
            <w:pPr>
              <w:pStyle w:val="BodyCopy"/>
              <w:jc w:val="center"/>
            </w:pPr>
            <w:r w:rsidRPr="00556FAB">
              <w:t>1</w:t>
            </w:r>
          </w:p>
        </w:tc>
      </w:tr>
      <w:tr w:rsidR="008F1F2D" w:rsidRPr="00556FAB" w14:paraId="42EFA999" w14:textId="77777777" w:rsidTr="00994626">
        <w:trPr>
          <w:trHeight w:val="782"/>
        </w:trPr>
        <w:tc>
          <w:tcPr>
            <w:tcW w:w="0" w:type="auto"/>
            <w:shd w:val="clear" w:color="auto" w:fill="FFF200"/>
            <w:hideMark/>
          </w:tcPr>
          <w:p w14:paraId="3994745C" w14:textId="77777777" w:rsidR="00556FAB" w:rsidRPr="00556FAB" w:rsidRDefault="00556FAB" w:rsidP="00556FAB">
            <w:pPr>
              <w:pStyle w:val="BodyCopy"/>
              <w:rPr>
                <w:b/>
                <w:bCs/>
              </w:rPr>
            </w:pPr>
            <w:r w:rsidRPr="00556FAB">
              <w:rPr>
                <w:b/>
                <w:bCs/>
              </w:rPr>
              <w:t>Citizenship</w:t>
            </w:r>
          </w:p>
        </w:tc>
        <w:tc>
          <w:tcPr>
            <w:tcW w:w="0" w:type="auto"/>
            <w:hideMark/>
          </w:tcPr>
          <w:p w14:paraId="0F40C5C4" w14:textId="175A021D" w:rsidR="00556FAB" w:rsidRPr="00556FAB" w:rsidRDefault="00556FAB" w:rsidP="00132FDE">
            <w:pPr>
              <w:pStyle w:val="BodyCopy"/>
              <w:jc w:val="center"/>
            </w:pPr>
            <w:r w:rsidRPr="00556FAB">
              <w:t>1</w:t>
            </w:r>
          </w:p>
        </w:tc>
      </w:tr>
      <w:tr w:rsidR="008F1F2D" w:rsidRPr="00556FAB" w14:paraId="71B21E04" w14:textId="77777777" w:rsidTr="00994626">
        <w:trPr>
          <w:trHeight w:val="845"/>
        </w:trPr>
        <w:tc>
          <w:tcPr>
            <w:tcW w:w="0" w:type="auto"/>
            <w:shd w:val="clear" w:color="auto" w:fill="FFF200"/>
            <w:hideMark/>
          </w:tcPr>
          <w:p w14:paraId="7F4A31AA" w14:textId="77777777" w:rsidR="00556FAB" w:rsidRPr="00556FAB" w:rsidRDefault="00556FAB" w:rsidP="00556FAB">
            <w:pPr>
              <w:pStyle w:val="BodyCopy"/>
              <w:rPr>
                <w:b/>
                <w:bCs/>
              </w:rPr>
            </w:pPr>
            <w:r w:rsidRPr="00556FAB">
              <w:rPr>
                <w:b/>
                <w:bCs/>
              </w:rPr>
              <w:t>Immigration Background</w:t>
            </w:r>
          </w:p>
        </w:tc>
        <w:tc>
          <w:tcPr>
            <w:tcW w:w="0" w:type="auto"/>
            <w:hideMark/>
          </w:tcPr>
          <w:p w14:paraId="5C6033DA" w14:textId="54E2AED5" w:rsidR="00556FAB" w:rsidRPr="00556FAB" w:rsidRDefault="00556FAB" w:rsidP="00132FDE">
            <w:pPr>
              <w:pStyle w:val="BodyCopy"/>
              <w:jc w:val="center"/>
            </w:pPr>
            <w:r w:rsidRPr="00556FAB">
              <w:t>0</w:t>
            </w:r>
          </w:p>
        </w:tc>
      </w:tr>
      <w:tr w:rsidR="008F1F2D" w:rsidRPr="00556FAB" w14:paraId="170A702F" w14:textId="77777777" w:rsidTr="00994626">
        <w:trPr>
          <w:trHeight w:val="620"/>
        </w:trPr>
        <w:tc>
          <w:tcPr>
            <w:tcW w:w="0" w:type="auto"/>
            <w:shd w:val="clear" w:color="auto" w:fill="FFF200"/>
            <w:hideMark/>
          </w:tcPr>
          <w:p w14:paraId="593667E7" w14:textId="77777777" w:rsidR="00556FAB" w:rsidRPr="00556FAB" w:rsidRDefault="00556FAB" w:rsidP="00556FAB">
            <w:pPr>
              <w:pStyle w:val="BodyCopy"/>
              <w:rPr>
                <w:b/>
                <w:bCs/>
              </w:rPr>
            </w:pPr>
            <w:r w:rsidRPr="00556FAB">
              <w:rPr>
                <w:b/>
                <w:bCs/>
              </w:rPr>
              <w:t>Other</w:t>
            </w:r>
          </w:p>
        </w:tc>
        <w:tc>
          <w:tcPr>
            <w:tcW w:w="0" w:type="auto"/>
            <w:hideMark/>
          </w:tcPr>
          <w:p w14:paraId="173CEADA" w14:textId="6484F886" w:rsidR="00556FAB" w:rsidRPr="00556FAB" w:rsidRDefault="00556FAB" w:rsidP="00132FDE">
            <w:pPr>
              <w:pStyle w:val="BodyCopy"/>
              <w:jc w:val="center"/>
            </w:pPr>
            <w:r w:rsidRPr="00556FAB">
              <w:t>3</w:t>
            </w:r>
          </w:p>
        </w:tc>
      </w:tr>
    </w:tbl>
    <w:p w14:paraId="067E7D64" w14:textId="3B4B8967" w:rsidR="00556FAB" w:rsidRPr="00556FAB" w:rsidRDefault="00C114AE" w:rsidP="00556FAB">
      <w:pPr>
        <w:pStyle w:val="BodyCopy"/>
      </w:pPr>
      <w:r>
        <w:rPr>
          <w:b/>
          <w:bCs/>
        </w:rPr>
        <w:t xml:space="preserve">Table </w:t>
      </w:r>
      <w:r w:rsidR="00556FAB" w:rsidRPr="00556FAB">
        <w:rPr>
          <w:b/>
          <w:bCs/>
        </w:rPr>
        <w:t>Caption:</w:t>
      </w:r>
      <w:r w:rsidR="00556FAB" w:rsidRPr="00556FAB">
        <w:t xml:space="preserve"> Types of leadership diversity data that companies report (by number of organizations). Nearly all 105 organizations that publish leadership diversity metrics include gender (86) and race/ethnicity (82), while far fewer report on categories such as disability (11), Indigenous identity (14), or veteran status (8). None reported data on leadership by immigration status.</w:t>
      </w:r>
    </w:p>
    <w:p w14:paraId="4D6058EF" w14:textId="7BDB23DF" w:rsidR="00556FAB" w:rsidRPr="00556FAB" w:rsidRDefault="00556FAB" w:rsidP="00556FAB">
      <w:pPr>
        <w:pStyle w:val="BodyCopy"/>
      </w:pPr>
      <w:r w:rsidRPr="00556FAB">
        <w:t xml:space="preserve">The imbalance in public disclosures shown in Table 3 suggests that organizations might be relying on a relatively narrow definition of diversity </w:t>
      </w:r>
      <w:r w:rsidRPr="00556FAB">
        <w:lastRenderedPageBreak/>
        <w:t>when showcasing their leadership composition. The focus on gender and race is not surprising given longstanding external pressures and legislation around those demographics (e.g., gender diversity on boards, racial equity initiatives). However, the lack of attention to disability in leadership is notable. Even among the largest companies, the invisibility of disability status in reporting may perpetuate a cycle wherein few senior leaders openly identify as having disabilities, and no data is collected or published – which in turn sends weak signals about the company’s commitment to developing or promoting leaders with disabilities. This pattern aligns with prior research suggesting that disability is often left out of the mainstream diversity conversation; many corporations’ public diversity reports remain “silent on disability,” focusing on gender and ethnicity unless prompted by specific stakeholder inquiries or advocacy (CNIB, 2025; Dragicevic &amp; Thirgood, 2023).</w:t>
      </w:r>
    </w:p>
    <w:p w14:paraId="04409481" w14:textId="50F88D9E" w:rsidR="00556FAB" w:rsidRPr="00556FAB" w:rsidRDefault="00556FAB" w:rsidP="00556FAB">
      <w:pPr>
        <w:pStyle w:val="BodyCopy"/>
      </w:pPr>
      <w:r w:rsidRPr="00556FAB">
        <w:t xml:space="preserve">The audit also examined recruitment and hiring practices as reflected on company websites and job postings. Reiterating the earlier finding, almost all companies (81%) include a generic Equal Employment Opportunity (EEO) or non-discrimination statement (typically enumerating race, gender, religion, etc.) in their career pages or job listings. This is a standard signal of compliance with anti-discrimination laws. However, when it comes to signaling proactive inclusion of people with disabilities in recruitment, the messaging is far less consistent (see Figure 3). Only about half of the companies audited explicitly mention the availability of accommodations for job applicants (sometimes via a sentence like “If you require an accommodation in the application process, please contact…”). Moreover, even among those that do mention accommodations, many do not provide practical details (e.g., whom to contact or how to request the accommodation) – only 44.7% of companies provide such procedural information online. The near 50-50 split in accommodation-related statements (Yes vs No) contrasts with the overwhelmingly positive messaging around equal opportunity and diversity. This disconnect </w:t>
      </w:r>
      <w:r w:rsidRPr="00556FAB">
        <w:lastRenderedPageBreak/>
        <w:t xml:space="preserve">between equity and accessibility in recruitment signals may reflect that while companies recognize the importance of stating their commitment to non-discrimination (perhaps due to legal requirements), many have not internalized the practice of advertising their willingness and processes to accommodate candidates with disabilities. In an organizational signaling sense, the silence about accommodations could unintentionally signal that the organization is not fully prepared or has not given sufficient thought to the inclusion of people with disabilities in hiring. </w:t>
      </w:r>
    </w:p>
    <w:p w14:paraId="3C8DDDDF" w14:textId="2D22AD9D" w:rsidR="00556FAB" w:rsidRPr="00556FAB" w:rsidRDefault="00556FAB" w:rsidP="00556FAB">
      <w:pPr>
        <w:pStyle w:val="BodyCopy"/>
      </w:pPr>
      <w:r w:rsidRPr="00556FAB">
        <w:t>Employee support mechanisms showed a similar pattern. While three-quarters of the companies highlighted affinity groups or ERGs (indicating an active internal community around shared identities or interests), fewer than one-third communicated having a confidential complaint mechanism or whistleblower process for discrimination, harassment, or bias incidents. Again, the lack of externally visible information on how to report and address inclusion-related issues may signal weaker commitment to accountability. Likewise, only 45.6% of companies explicitly stated that they provide workplace accommodations for employees with disabilities (beyond the hiring stage), suggesting that many employers do not publicly reinforce that they will support employees after they are on the job. When such details are missing from public HR pages or policy documents, it could imply that accommodations are handled discreetly or on a case-by-case basis, rather than being celebrated as a vital component of the company’s inclusion strategy.</w:t>
      </w:r>
    </w:p>
    <w:p w14:paraId="1ABC6F42" w14:textId="77777777" w:rsidR="00215436" w:rsidRDefault="00556FAB" w:rsidP="00556FAB">
      <w:pPr>
        <w:pStyle w:val="BodyCopy"/>
      </w:pPr>
      <w:r w:rsidRPr="00556FAB">
        <w:t xml:space="preserve">Finally, the audit results highlight differences between physical and digital accessibility commitments. About 47% of companies in the sample mentioned implementing digital accessibility standards (such as compliance with Web Content Accessibility Guidelines for their websites or apps), whereas only 34% mentioned physical accessibility standards (for the built environment). This gap may indicate that digital accessibility – possibly due to increasing awareness of online accessibility and legal risks of inaccessible websites – is on the radar for more organizations than </w:t>
      </w:r>
      <w:r w:rsidRPr="00556FAB">
        <w:lastRenderedPageBreak/>
        <w:t xml:space="preserve">physical accessibility of workplaces, which might be assumed to be covered by building codes or addressed when necessary rather than touted publicly. Even so, the fact that over half of companies make no public accessibility commitments of either kind (physical or digital) suggests that accessibility is often not framed as a public commitment at all, but rather left as an internal matter of compliance. Additionally, only a small minority of firms (roughly 10–20%, according to the Data Appendix) mention broader “universal design” or inclusive design initiatives, which would indicate efforts to move beyond compliance toward proactive inclusion in both digital and physical realms. </w:t>
      </w:r>
    </w:p>
    <w:p w14:paraId="29859904" w14:textId="782E13D9" w:rsidR="00556FAB" w:rsidRPr="00556FAB" w:rsidRDefault="00556FAB" w:rsidP="00556FAB">
      <w:pPr>
        <w:pStyle w:val="BodyCopy"/>
      </w:pPr>
      <w:r w:rsidRPr="00556FAB">
        <w:t xml:space="preserve">In summary, the key findings from the audit can be encapsulated as follows: </w:t>
      </w:r>
    </w:p>
    <w:p w14:paraId="054C029A" w14:textId="4A050188" w:rsidR="00556FAB" w:rsidRPr="00556FAB" w:rsidRDefault="00556FAB" w:rsidP="008F4B3F">
      <w:pPr>
        <w:pStyle w:val="BodyCopy"/>
        <w:numPr>
          <w:ilvl w:val="0"/>
          <w:numId w:val="10"/>
        </w:numPr>
      </w:pPr>
      <w:r w:rsidRPr="00556FAB">
        <w:rPr>
          <w:b/>
          <w:bCs/>
        </w:rPr>
        <w:t>Diversity &amp; Inclusion are emphasized far more than Accessibility in public commitments:</w:t>
      </w:r>
      <w:r w:rsidRPr="00556FAB">
        <w:t xml:space="preserve"> Nearly all companies have diversity and inclusion statements, but only a small fraction mention accessibility or disability (Table 2). This sends a message that disability-inclusive efforts are not yet central to corporate diversity values in many organizations.</w:t>
      </w:r>
    </w:p>
    <w:p w14:paraId="500C80BF" w14:textId="3D188DFB" w:rsidR="00556FAB" w:rsidRPr="00556FAB" w:rsidRDefault="00556FAB" w:rsidP="008F4B3F">
      <w:pPr>
        <w:pStyle w:val="BodyCopy"/>
        <w:numPr>
          <w:ilvl w:val="0"/>
          <w:numId w:val="10"/>
        </w:numPr>
      </w:pPr>
      <w:r w:rsidRPr="00556FAB">
        <w:rPr>
          <w:b/>
          <w:bCs/>
        </w:rPr>
        <w:t>Strong external focus on diversity values, but weaker signaling of tangible support:</w:t>
      </w:r>
      <w:r w:rsidRPr="00556FAB">
        <w:t xml:space="preserve"> Statements about equal opportunity and the existence of employee resource groups are common (80–90% of companies), indicating that high-level commitment to diversity/inclusion is widely signaled. However, fewer than half of companies signal the availability of accommodations for applicants or employees with disabilities, and even fewer mention how to report issues or ensure accessibility in workplaces (Table 1). This contrast implies that </w:t>
      </w:r>
      <w:r w:rsidRPr="00556FAB">
        <w:rPr>
          <w:i/>
          <w:iCs/>
        </w:rPr>
        <w:t>practical accessibility and accountability measures are not being communicated</w:t>
      </w:r>
      <w:r w:rsidRPr="00556FAB">
        <w:t xml:space="preserve"> as firmly as abstract commitments are.</w:t>
      </w:r>
    </w:p>
    <w:p w14:paraId="342F85D4" w14:textId="77777777" w:rsidR="00215436" w:rsidRPr="00215436" w:rsidRDefault="00556FAB" w:rsidP="008F4B3F">
      <w:pPr>
        <w:pStyle w:val="BodyCopy"/>
        <w:numPr>
          <w:ilvl w:val="0"/>
          <w:numId w:val="10"/>
        </w:numPr>
      </w:pPr>
      <w:r w:rsidRPr="00556FAB">
        <w:rPr>
          <w:b/>
          <w:bCs/>
        </w:rPr>
        <w:t>Accessibility is often treated as compliance-focused:</w:t>
      </w:r>
      <w:r w:rsidRPr="00556FAB">
        <w:t xml:space="preserve"> When accessibility is mentioned, it tends to be in the context of complying </w:t>
      </w:r>
      <w:r w:rsidRPr="00556FAB">
        <w:lastRenderedPageBreak/>
        <w:t xml:space="preserve">with external standards (e.g., ADA, AODA, or WCAG requirements) rather than as part of an organization’s </w:t>
      </w:r>
      <w:r w:rsidRPr="00556FAB">
        <w:rPr>
          <w:i/>
          <w:iCs/>
        </w:rPr>
        <w:t>culture or equity narrative</w:t>
      </w:r>
      <w:r w:rsidRPr="00556FAB">
        <w:t xml:space="preserve">. Physical accessibility in particular appears to be de-emphasized (only one third of companies mention meeting building accessibility standards), and very few companies discuss going beyond the basics to achieve universal design (Data Appendix, 2024). Digital accessibility is somewhat more commonly acknowledged (47%), but still by only a minority of firms. </w:t>
      </w:r>
    </w:p>
    <w:p w14:paraId="49DD50E2" w14:textId="59625D6C" w:rsidR="00556FAB" w:rsidRPr="00556FAB" w:rsidRDefault="00556FAB" w:rsidP="00CB40B5">
      <w:pPr>
        <w:pStyle w:val="Heading3"/>
      </w:pPr>
      <w:bookmarkStart w:id="27" w:name="_Toc243923412"/>
      <w:r w:rsidRPr="00556FAB">
        <w:t>Organizational Signaling Interpretation (Accessibility vs. D</w:t>
      </w:r>
      <w:r w:rsidR="0063632B">
        <w:t xml:space="preserve">iversity, </w:t>
      </w:r>
      <w:r w:rsidRPr="00556FAB">
        <w:t>E</w:t>
      </w:r>
      <w:r w:rsidR="0063632B">
        <w:t xml:space="preserve">quity and </w:t>
      </w:r>
      <w:r w:rsidRPr="00556FAB">
        <w:t>I</w:t>
      </w:r>
      <w:r w:rsidR="0063632B">
        <w:t>nclusion</w:t>
      </w:r>
      <w:r w:rsidRPr="00556FAB">
        <w:t xml:space="preserve"> Framing)</w:t>
      </w:r>
      <w:bookmarkEnd w:id="27"/>
    </w:p>
    <w:p w14:paraId="4A74D98C" w14:textId="62C3687F" w:rsidR="00556FAB" w:rsidRPr="00556FAB" w:rsidRDefault="00556FAB" w:rsidP="00556FAB">
      <w:pPr>
        <w:pStyle w:val="BodyCopy"/>
      </w:pPr>
      <w:r w:rsidRPr="00556FAB">
        <w:t>These findings carry significant implications when viewed through an organizational signaling lens. In essence, the policies, reports, and language that organizations make public serve as signals of their values and priorities. Stakeholders</w:t>
      </w:r>
      <w:r w:rsidR="00A4377C">
        <w:t>,</w:t>
      </w:r>
      <w:r w:rsidRPr="00556FAB">
        <w:t xml:space="preserve"> including current and prospective employees, customers, investors, and advocacy groups</w:t>
      </w:r>
      <w:r w:rsidR="00A4377C">
        <w:t>,</w:t>
      </w:r>
      <w:r w:rsidRPr="00556FAB">
        <w:t xml:space="preserve"> read these signals to infer how committed a company truly is to principles of diversity, equity, and inclusion.</w:t>
      </w:r>
    </w:p>
    <w:p w14:paraId="7FCABBD4" w14:textId="5838482F" w:rsidR="00556FAB" w:rsidRPr="00556FAB" w:rsidRDefault="00556FAB" w:rsidP="00556FAB">
      <w:pPr>
        <w:pStyle w:val="BodyCopy"/>
      </w:pPr>
      <w:r w:rsidRPr="00556FAB">
        <w:t xml:space="preserve">One consistent pattern in the data is that accessibility is less visible and less elaborated in these signals compared to other IDEA components. In many cases, accessibility appears to be treated as a technical or compliance matter, rather than as an integral part of a company’s diversity and inclusion ethos. For example, an organization might list compliance with accessibility standards in a footnote or under a health and safety section, whereas its diversity and inclusion commitments are highlighted in prominent, values-oriented language on the company’s main “About Us” or careers pages. This difference in framing – technical/compliance versus cultural/values – is itself a signal. It suggests that the companies perceive (and therefore convey) diversity and inclusion as core to their identity, while viewing accessibility as a more narrow, perhaps optional, obligation. </w:t>
      </w:r>
    </w:p>
    <w:p w14:paraId="1F94AA68" w14:textId="316EDBCD" w:rsidR="00556FAB" w:rsidRPr="00556FAB" w:rsidRDefault="00556FAB" w:rsidP="00556FAB">
      <w:pPr>
        <w:pStyle w:val="BodyCopy"/>
      </w:pPr>
      <w:r w:rsidRPr="00556FAB">
        <w:lastRenderedPageBreak/>
        <w:t xml:space="preserve">The comparative absence of accessibility in high-level communications can contribute to what scholars call “symbolic compliance” or </w:t>
      </w:r>
      <w:r w:rsidR="009D20C8" w:rsidRPr="009D20C8">
        <w:t>“</w:t>
      </w:r>
      <w:r w:rsidRPr="00556FAB">
        <w:t>virtue signaling</w:t>
      </w:r>
      <w:r w:rsidR="009D20C8" w:rsidRPr="009D20C8">
        <w:t>”</w:t>
      </w:r>
      <w:r w:rsidRPr="00556FAB">
        <w:t xml:space="preserve"> in corporate diversity efforts. In other words, companies readily adopt the broad language of diversity and inclusion (which signals virtue to a general audience), but may not implement or communicate the concrete steps needed to include people with disabilities. The IDEA audit results provide evidence of this: for instance, nearly all companies declare themselves equal opportunity employers, but a much smaller number actually outline how they ensure opportunities are accessible to candidates with disabilities</w:t>
      </w:r>
      <w:r w:rsidR="00B14CD0">
        <w:t>.</w:t>
      </w:r>
      <w:r w:rsidR="006D23C4">
        <w:t xml:space="preserve"> </w:t>
      </w:r>
      <w:r w:rsidR="009D20C8" w:rsidRPr="009D20C8">
        <w:t>T</w:t>
      </w:r>
      <w:r w:rsidRPr="00556FAB">
        <w:t xml:space="preserve">he risk is that external stakeholders receive an imbalanced message – that companies are enthusiastic and detailed about certain IDEA commitments (e.g., gender and racial diversity initiatives, pride campaigns, women in leadership programs) while being comparatively silent on disability inclusion. Disability advocates often point out that </w:t>
      </w:r>
      <w:r w:rsidRPr="00556FAB">
        <w:rPr>
          <w:i/>
          <w:iCs/>
        </w:rPr>
        <w:t>“</w:t>
      </w:r>
      <w:r w:rsidRPr="00556FAB">
        <w:t xml:space="preserve">diversity” is frequently used as a code for demographics like race and gender, with disability left off the agenda. The data here bolster that critique, quantifying the disparity in corporate communication. </w:t>
      </w:r>
    </w:p>
    <w:p w14:paraId="255A0AF6" w14:textId="6E989070" w:rsidR="00556FAB" w:rsidRPr="00556FAB" w:rsidRDefault="00556FAB" w:rsidP="00556FAB">
      <w:pPr>
        <w:pStyle w:val="BodyCopy"/>
      </w:pPr>
      <w:r w:rsidRPr="00556FAB">
        <w:t>From an organizational change perspective, what is not said publicly can be as telling as what is said. The fact that 85% of companies with diversity policies did not mention accessibility (Table 2) could signal to job seekers with disabilities that they might need to ask explicitly about disability inclusion, rather than assume it is part of the company’s diversity values. When information about accommodations or accessibility features is hard to find on a company’s website, it may signal that the company has not prioritized those issues, potentially discouraging qualified candidates from applying or current employees from feeling fully welcome. Conversely, companies that do prominently feature accessibility – for example, by publishing their accessibility commitments, providing detailed accommodation instructions, or sharing data on the inclusion of people with disabilities – are sending a strong positive signal that they value disability inclusion as an essential element of their culture (not just as a legal duty).</w:t>
      </w:r>
    </w:p>
    <w:p w14:paraId="0A63352B" w14:textId="56BC5861" w:rsidR="00556FAB" w:rsidRPr="00556FAB" w:rsidRDefault="00556FAB" w:rsidP="00556FAB">
      <w:pPr>
        <w:pStyle w:val="BodyCopy"/>
      </w:pPr>
      <w:r w:rsidRPr="00556FAB">
        <w:lastRenderedPageBreak/>
        <w:t xml:space="preserve">It is also important to note that public signaling does not always equate to actual performance, and this audit did not measure outcomes beyond what is communicated outwardly. Some organizations might be doing more on accessibility behind the scenes than their websites reflect, while others might overstate commitments. However, the </w:t>
      </w:r>
      <w:r w:rsidRPr="00556FAB">
        <w:rPr>
          <w:i/>
          <w:iCs/>
        </w:rPr>
        <w:t>absence</w:t>
      </w:r>
      <w:r w:rsidRPr="00556FAB">
        <w:t xml:space="preserve"> of a public signal is itself a meaningful finding: either the activity truly isn’t happening, or it isn’t deemed important enough to report. In the context of organizational signaling theory, public commitments are a way to shape reputation and manage stakeholder expectations. The patterns observed – where “Diversity, Inclusion, and Equity” get top billing and</w:t>
      </w:r>
      <w:r w:rsidR="00151D60">
        <w:t xml:space="preserve"> </w:t>
      </w:r>
      <w:r w:rsidRPr="00556FAB">
        <w:t xml:space="preserve">“Accessibility” receives minimal attention – suggest that many companies still see disability inclusion as separate from their main diversity story. Accessibility may be perceived internally as a compliance checkbox or a specialist issue, which translates externally into sparse communication. </w:t>
      </w:r>
    </w:p>
    <w:p w14:paraId="1AFB7622" w14:textId="77777777" w:rsidR="00556FAB" w:rsidRPr="00556FAB" w:rsidRDefault="00556FAB" w:rsidP="00556FAB">
      <w:pPr>
        <w:pStyle w:val="BodyCopy"/>
      </w:pPr>
      <w:r w:rsidRPr="00556FAB">
        <w:t>On the other hand, the increasing mention of digital accessibility by nearly half of the companies (likely in response to web accessibility trends and regulations) could be a sign of gradual progress. Some organizations may be beginning to recognize that demonstrating digital accessibility is part of being seen as an innovative, responsible business. Yet, even here, the language is often technical (e.g., compliance with WCAG standards) rather than inspirational. Truly robust signaling would involve framing accessibility as part of the company’s core values – for instance, highlighting how accessibility and universal design benefit all employees and customers. Only a small number of leading companies in the audit did this, by explicitly discussing accessibility in the context of diversity &amp; inclusion or by publishing an accessibility action plan as part of their diversity report (Final Write-Up, 2024). Those outliers serve as examples of how organizations can integrate accessibility into their cultural narrative, rather than isolating it.</w:t>
      </w:r>
    </w:p>
    <w:p w14:paraId="3BEFC314" w14:textId="77777777" w:rsidR="00556FAB" w:rsidRPr="00556FAB" w:rsidRDefault="00556FAB" w:rsidP="00556FAB">
      <w:pPr>
        <w:pStyle w:val="BodyCopy"/>
      </w:pPr>
      <w:r w:rsidRPr="00556FAB">
        <w:t xml:space="preserve">In summary, applying an organizational signaling lens to these audit results reveals that disability and accessibility are the weak links in IDEA </w:t>
      </w:r>
      <w:r w:rsidRPr="00556FAB">
        <w:lastRenderedPageBreak/>
        <w:t>communications. The silence or minimalism around accessibility in public discourse functions as a signal – likely unintended – that undermines the very message of inclusion that organizations seek to project. As long as accessibility is conveyed as an afterthought, or merely as a legal duty, companies risk communicating that their commitment to inclusion has practical limits. This does not necessarily mean those organizations are doing nothing on accessibility; however, from the outside, the perception can be that “diversity” efforts do not explicitly include people with disabilities. For organizations aiming to improve their accessibility competence, a key recommendation is therefore to elevate the prominence of accessibility in external and internal communications – to explicitly signal that accessibility and disability inclusion are part of the core equity commitments, on par with other IDEA dimensions. Doing so not only demonstrates a comprehensive commitment to inclusion but can also have reputational benefits, as stakeholders increasingly value transparency and breadth in diversity and inclusion initiatives.</w:t>
      </w:r>
    </w:p>
    <w:p w14:paraId="781BB01A" w14:textId="77777777" w:rsidR="00556FAB" w:rsidRPr="00556FAB" w:rsidRDefault="00556FAB" w:rsidP="00CB40B5">
      <w:pPr>
        <w:pStyle w:val="Heading3"/>
      </w:pPr>
      <w:bookmarkStart w:id="28" w:name="_Toc243923413"/>
      <w:r w:rsidRPr="00556FAB">
        <w:t>Limitations</w:t>
      </w:r>
      <w:bookmarkEnd w:id="28"/>
    </w:p>
    <w:p w14:paraId="593FCD7B" w14:textId="77777777" w:rsidR="00556FAB" w:rsidRPr="00556FAB" w:rsidRDefault="00556FAB" w:rsidP="00556FAB">
      <w:pPr>
        <w:pStyle w:val="BodyCopy"/>
      </w:pPr>
      <w:r w:rsidRPr="00556FAB">
        <w:t>While this audit provides valuable insights into corporate IDEA signaling, several important limitations must be acknowledged:</w:t>
      </w:r>
    </w:p>
    <w:p w14:paraId="7FBAC138" w14:textId="77777777" w:rsidR="00556FAB" w:rsidRPr="00556FAB" w:rsidRDefault="00556FAB" w:rsidP="008F4B3F">
      <w:pPr>
        <w:pStyle w:val="BodyCopy"/>
        <w:numPr>
          <w:ilvl w:val="0"/>
          <w:numId w:val="11"/>
        </w:numPr>
      </w:pPr>
      <w:r w:rsidRPr="00556FAB">
        <w:rPr>
          <w:b/>
          <w:bCs/>
        </w:rPr>
        <w:t>Sample Bias – Large, High-Performing Firms:</w:t>
      </w:r>
      <w:r w:rsidRPr="00556FAB">
        <w:t xml:space="preserve"> The dataset is drawn from Fortune Global 500 companies (primarily the top 100 U.S. firms and top 14 Canadian firms in that list). These are among the world’s largest corporations, which often have more resources and public scrutiny regarding diversity efforts. Thus, their rates of stated commitments might be higher than smaller firms or organizations in other sectors. The findings should not be generalized to all employers. In fact, smaller organizations or those in different regions might have very different practices – potentially fewer formal public statements due to resource constraints, or conversely, more agility to innovate in accessibility.</w:t>
      </w:r>
    </w:p>
    <w:p w14:paraId="3A9383DF" w14:textId="77777777" w:rsidR="00556FAB" w:rsidRPr="00556FAB" w:rsidRDefault="00556FAB" w:rsidP="008F4B3F">
      <w:pPr>
        <w:pStyle w:val="BodyCopy"/>
        <w:numPr>
          <w:ilvl w:val="0"/>
          <w:numId w:val="11"/>
        </w:numPr>
      </w:pPr>
      <w:r w:rsidRPr="00556FAB">
        <w:rPr>
          <w:b/>
          <w:bCs/>
        </w:rPr>
        <w:lastRenderedPageBreak/>
        <w:t>Public Information vs. Private Practice:</w:t>
      </w:r>
      <w:r w:rsidRPr="00556FAB">
        <w:t xml:space="preserve"> The audit assessed only public-facing information (e.g., what companies choose to publish on websites or reports). It did not directly measure actual internal practices or the effectiveness of those practices. An organization might have strong internal accessibility programs that simply are not mentioned publicly. Conversely, an organization could publish a polished diversity report that overstates its on-the-ground practices. The analysis assumes that what companies publicize is a meaningful indicator of their priorities, but this is not always perfectly aligned with reality. Thus, the results speak to communication and transparency about IDEA, which may differ from actual performance.</w:t>
      </w:r>
    </w:p>
    <w:p w14:paraId="4836C5AC" w14:textId="77777777" w:rsidR="00556FAB" w:rsidRPr="00556FAB" w:rsidRDefault="00556FAB" w:rsidP="008F4B3F">
      <w:pPr>
        <w:pStyle w:val="BodyCopy"/>
        <w:numPr>
          <w:ilvl w:val="0"/>
          <w:numId w:val="11"/>
        </w:numPr>
      </w:pPr>
      <w:r w:rsidRPr="00556FAB">
        <w:rPr>
          <w:b/>
          <w:bCs/>
        </w:rPr>
        <w:t>Binary Measures and Depth of Content:</w:t>
      </w:r>
      <w:r w:rsidRPr="00556FAB">
        <w:t xml:space="preserve"> Many audit items were yes/no questions (e.g., “Does the company have X policy? Yes or No”). While this provides a clear snapshot of whether a topic is addressed, it does not capture the quality or depth of the commitment. A simple mention of “accessibility” in a policy earns the same “Yes” as a comprehensive accessibility action plan – nuances are lost. The audit tried to mitigate this by including some follow-up sub-questions (e.g., if a company had a complaint process, was any data on its usage disclosed?), but quantifying qualitative differences in detail was beyond scope. So, the findings mostly indicate the presence or absence of signals, rather than their robustness.</w:t>
      </w:r>
    </w:p>
    <w:p w14:paraId="784A3225" w14:textId="77777777" w:rsidR="00556FAB" w:rsidRPr="00556FAB" w:rsidRDefault="00556FAB" w:rsidP="008F4B3F">
      <w:pPr>
        <w:pStyle w:val="BodyCopy"/>
        <w:numPr>
          <w:ilvl w:val="0"/>
          <w:numId w:val="11"/>
        </w:numPr>
      </w:pPr>
      <w:r w:rsidRPr="00556FAB">
        <w:rPr>
          <w:b/>
          <w:bCs/>
        </w:rPr>
        <w:t>Potential for Subjective Interpretation:</w:t>
      </w:r>
      <w:r w:rsidRPr="00556FAB">
        <w:t xml:space="preserve"> Although the research team took steps to calibrate and validate the data, some measures required subjective judgments. Definitions of what counts as a “policy” or what constitutes mentioning a concept (e.g., does a passing reference to “accessibility” count as a yes?) can introduce some coder interpretation. The validation process and codebook aimed to standardize these decisions, and a senior analyst reviewed all entries. However, there is still the possibility of minor errors or differences in interpretation, especially given the breadth of sources </w:t>
      </w:r>
      <w:r w:rsidRPr="00556FAB">
        <w:lastRenderedPageBreak/>
        <w:t>examined for each company. These were minimized by the rigorous validation process, and any ambiguous cases were resolved by consensus.</w:t>
      </w:r>
    </w:p>
    <w:p w14:paraId="5172AD67" w14:textId="77777777" w:rsidR="00556FAB" w:rsidRPr="00556FAB" w:rsidRDefault="00556FAB" w:rsidP="008F4B3F">
      <w:pPr>
        <w:pStyle w:val="BodyCopy"/>
        <w:numPr>
          <w:ilvl w:val="0"/>
          <w:numId w:val="11"/>
        </w:numPr>
      </w:pPr>
      <w:r w:rsidRPr="00556FAB">
        <w:rPr>
          <w:b/>
          <w:bCs/>
        </w:rPr>
        <w:t>Time Frame of Data Collection:</w:t>
      </w:r>
      <w:r w:rsidRPr="00556FAB">
        <w:t xml:space="preserve"> The data reflect a specific point in time (mostly collected in late 2023). Corporate websites and policies are dynamic; some organizations may have updated their public communications since the audit. For example, a company that did not mention accessibility in 2023 might have added a new accessibility statement on their website in 2024. The audit is a snapshot, and while it captures the state of IDEA signaling at that time, it may not account for very recent changes or ongoing improvements.</w:t>
      </w:r>
    </w:p>
    <w:p w14:paraId="37731AEA" w14:textId="77777777" w:rsidR="00556FAB" w:rsidRPr="00556FAB" w:rsidRDefault="00556FAB" w:rsidP="008F4B3F">
      <w:pPr>
        <w:pStyle w:val="BodyCopy"/>
        <w:numPr>
          <w:ilvl w:val="0"/>
          <w:numId w:val="11"/>
        </w:numPr>
      </w:pPr>
      <w:r w:rsidRPr="00556FAB">
        <w:rPr>
          <w:b/>
          <w:bCs/>
        </w:rPr>
        <w:t>Geographical and Cultural Context:</w:t>
      </w:r>
      <w:r w:rsidRPr="00556FAB">
        <w:t xml:space="preserve"> The audit focused on U.S. and Canadian companies. These countries have particular legal frameworks (e.g., the Americans with Disabilities Act, the Accessibility for Ontarians with Disabilities Act, employment equity laws, etc.) that influence what companies disclose. The findings might differ in regions with other regulatory or cultural contexts. For instance, European companies with requirements under the EU Web Accessibility Directive or different cultural expectations around corporate social responsibility might show different patterns.</w:t>
      </w:r>
    </w:p>
    <w:p w14:paraId="55DC5C52" w14:textId="77777777" w:rsidR="00556FAB" w:rsidRPr="00556FAB" w:rsidRDefault="00556FAB" w:rsidP="00556FAB">
      <w:pPr>
        <w:pStyle w:val="BodyCopy"/>
      </w:pPr>
      <w:r w:rsidRPr="00556FAB">
        <w:t xml:space="preserve">Despite these limitations, this audit provides a unique evidence-based look at patterns in corporate IDEA commitments. By concentrating on what organizations choose to publicly signal, the findings complement other research on internal practices, highlighting gaps between what companies </w:t>
      </w:r>
      <w:r w:rsidRPr="00556FAB">
        <w:rPr>
          <w:i/>
          <w:iCs/>
        </w:rPr>
        <w:t>say</w:t>
      </w:r>
      <w:r w:rsidRPr="00556FAB">
        <w:t xml:space="preserve"> and what stakeholders might wish to see. Future research could extend this work by examining smaller organizations, other sectors, or longitudinal changes in communications, as well as by correlating public signals with internal performance data.</w:t>
      </w:r>
    </w:p>
    <w:p w14:paraId="01CEA36A" w14:textId="77777777" w:rsidR="00556FAB" w:rsidRPr="00556FAB" w:rsidRDefault="00556FAB" w:rsidP="00CB40B5">
      <w:pPr>
        <w:pStyle w:val="Heading3"/>
      </w:pPr>
      <w:bookmarkStart w:id="29" w:name="_Toc243923414"/>
      <w:r w:rsidRPr="00556FAB">
        <w:lastRenderedPageBreak/>
        <w:t>Acknowledgements</w:t>
      </w:r>
      <w:bookmarkEnd w:id="29"/>
    </w:p>
    <w:p w14:paraId="6F5FC304" w14:textId="77777777" w:rsidR="00556FAB" w:rsidRPr="00F05AE1" w:rsidRDefault="00556FAB" w:rsidP="00556FAB">
      <w:pPr>
        <w:pStyle w:val="BodyCopy"/>
      </w:pPr>
      <w:r w:rsidRPr="00F05AE1">
        <w:t>The Inclusive Design for Employment Access (IDEA) Social Innovation Lab is a multi-sector partnership initiative made possible by funding from the Government of Canada’s New Frontiers in Research Fund. The authors wish to acknowledge the contributions of numerous partners and individuals to this audit project. The work was carried out under Hub 4 – Inclusive Environmental Design, led by CNIB in collaboration with academic and community partners. We thank the Hub 4 IDEA research team – including Dr. Jimin Choi (McMaster University), Dr. Jordana L. Maisel (University at Buffalo), Dr. Mahadeo Sukhai (CNIB), and others – for their leadership in developing the audit methodology and tool. The audit instrument and approach were strengthened by the collaboration between CNIB and the University at Buffalo’s Center for Inclusive Design, as well as insights from the broader Hub 4 team.</w:t>
      </w:r>
    </w:p>
    <w:p w14:paraId="47C9626C" w14:textId="582D6017" w:rsidR="00556FAB" w:rsidRPr="00F05AE1" w:rsidRDefault="00556FAB" w:rsidP="00556FAB">
      <w:pPr>
        <w:pStyle w:val="BodyCopy"/>
      </w:pPr>
      <w:r w:rsidRPr="00F05AE1">
        <w:t xml:space="preserve">We gratefully acknowledge Ontario Tech University’s Capstone Team 10 – Alex Atherley, Nikita Bennett, Hallie Budhoo, Mahin Khan, and Joseph Mandool – who conducted the website scans and initial data collection for the 114 organizations, as part of their course XBIT 4500U – Capstone Study Project (Fall 2023). Their diligent efforts provided the foundation for this analysis. We also recognize their faculty supervisor, Professor Amanda Gaudet, and teaching assistant June Melnychuk, for guiding the student team, as well as CNIB’s sponsor liaisons who coordinated with the students. </w:t>
      </w:r>
    </w:p>
    <w:p w14:paraId="13D19E48" w14:textId="53A57913" w:rsidR="00556FAB" w:rsidRPr="00F05AE1" w:rsidRDefault="00556FAB" w:rsidP="00556FAB">
      <w:pPr>
        <w:pStyle w:val="BodyCopy"/>
      </w:pPr>
      <w:r w:rsidRPr="00F05AE1">
        <w:t>Special thanks go to Lakshita</w:t>
      </w:r>
      <w:r w:rsidR="00533168" w:rsidRPr="00F05AE1">
        <w:t xml:space="preserve"> Bhat</w:t>
      </w:r>
      <w:r w:rsidRPr="00F05AE1">
        <w:t xml:space="preserve"> for her meticulous work in cleaning the data, performing quality assurance, and conducting the final analysis and data visualization. Her contributions were critical in validating the findings and preparing the final dataset, the analysis narrative, and the Data Appendix.</w:t>
      </w:r>
    </w:p>
    <w:p w14:paraId="6BB1E9D9" w14:textId="5C993FF3" w:rsidR="00556FAB" w:rsidRPr="008F3080" w:rsidRDefault="00556FAB" w:rsidP="00556FAB">
      <w:pPr>
        <w:pStyle w:val="BodyCopy"/>
      </w:pPr>
      <w:r w:rsidRPr="008F3080">
        <w:lastRenderedPageBreak/>
        <w:t>Finally, we thank Michaela Knot</w:t>
      </w:r>
      <w:r w:rsidR="00533168" w:rsidRPr="008F3080">
        <w:t xml:space="preserve"> and Brayden Smith</w:t>
      </w:r>
      <w:r w:rsidRPr="008F3080">
        <w:t xml:space="preserve"> and other colleagues at CNIB’s Research and Innovation team for their support in reviewing the findings and providing feedback on this report.</w:t>
      </w:r>
    </w:p>
    <w:p w14:paraId="76A28601" w14:textId="77777777" w:rsidR="00556FAB" w:rsidRPr="00556FAB" w:rsidRDefault="00556FAB" w:rsidP="00CB40B5">
      <w:pPr>
        <w:pStyle w:val="Heading3"/>
      </w:pPr>
      <w:bookmarkStart w:id="30" w:name="_Toc243923415"/>
      <w:r w:rsidRPr="00556FAB">
        <w:t>Appendix (Available Upon Request)</w:t>
      </w:r>
      <w:bookmarkEnd w:id="30"/>
    </w:p>
    <w:p w14:paraId="53FBCCB2" w14:textId="77777777" w:rsidR="00556FAB" w:rsidRPr="00556FAB" w:rsidRDefault="00556FAB" w:rsidP="00556FAB">
      <w:pPr>
        <w:pStyle w:val="BodyCopy"/>
      </w:pPr>
      <w:r w:rsidRPr="00556FAB">
        <w:rPr>
          <w:b/>
          <w:bCs/>
        </w:rPr>
        <w:t>Available Data Tables:</w:t>
      </w:r>
      <w:r w:rsidRPr="00556FAB">
        <w:t xml:space="preserve"> A detailed Data Appendix is available upon request, containing full summary tables for all 23 primary audit questions and their sub-questions. This includes breakdowns of responses for each item (in both counts and percentages), as well as cross-tabulations (e.g., by country or industry, where applicable) derived from the dataset of 114 organizations. For example, the appendix provides additional insight into areas such as the prevalence of health and wellness benefits (IDEA Audit Question 11), childcare/eldercare supports (Q12), equitable compensation practices (Q13), supplier diversity initiatives (Q19), and inclusive design commitments (Q22.1), which were beyond the scope of the key findings presented in this chapter. These tables offer a rich resource for stakeholders interested in specific aspects of how organizations publicly communicate their IDEA efforts.</w:t>
      </w:r>
    </w:p>
    <w:p w14:paraId="7DE8BE13" w14:textId="77777777" w:rsidR="00556FAB" w:rsidRPr="00556FAB" w:rsidRDefault="00556FAB" w:rsidP="00556FAB">
      <w:pPr>
        <w:pStyle w:val="BodyCopy"/>
      </w:pPr>
      <w:r w:rsidRPr="00556FAB">
        <w:rPr>
          <w:b/>
          <w:bCs/>
        </w:rPr>
        <w:t>Audit Tool Information:</w:t>
      </w:r>
      <w:r w:rsidRPr="00556FAB">
        <w:t xml:space="preserve"> Further details about the </w:t>
      </w:r>
      <w:r w:rsidRPr="00556FAB">
        <w:rPr>
          <w:b/>
          <w:bCs/>
        </w:rPr>
        <w:t>IDEA Audit Tool</w:t>
      </w:r>
      <w:r w:rsidRPr="00556FAB">
        <w:t xml:space="preserve"> (structure and coding scheme) can be provided on request. This includes a summary of the tool’s 23 questions and sub-questions, organized by the four domains of organizational values, culture, built environment, and digital platforms. We can share a high-level overview of each audit question’s intent and the criteria used to code “Yes” vs. “No” answers. For instance, the tool captures whether a company not only has a disability accommodations statement, but also whether it explains the procedure for requesting accommodations – a distinction reflected in sub-questions Q7 and Q7.1 (see Table 1). We can also provide information on how the audit team developed and refined the tool (e.g., sources of items and how they were vetted), as long as it does not divulge proprietary content from the confidential methodology report.</w:t>
      </w:r>
    </w:p>
    <w:p w14:paraId="05E519B2" w14:textId="77777777" w:rsidR="00556FAB" w:rsidRDefault="00556FAB" w:rsidP="00BB05A8">
      <w:pPr>
        <w:pStyle w:val="BodyCopy"/>
        <w:sectPr w:rsidR="00556FAB" w:rsidSect="009F7FEB">
          <w:pgSz w:w="12240" w:h="15840"/>
          <w:pgMar w:top="1728" w:right="1440" w:bottom="1080" w:left="1440" w:header="709" w:footer="317" w:gutter="0"/>
          <w:cols w:space="708"/>
          <w:docGrid w:linePitch="360"/>
        </w:sectPr>
      </w:pPr>
    </w:p>
    <w:p w14:paraId="67A09296" w14:textId="17D8B43F" w:rsidR="006579C9" w:rsidRPr="001865FF" w:rsidRDefault="007236A0" w:rsidP="006579C9">
      <w:pPr>
        <w:pStyle w:val="Heading2"/>
      </w:pPr>
      <w:bookmarkStart w:id="31" w:name="_Toc243923416"/>
      <w:r>
        <w:lastRenderedPageBreak/>
        <w:t xml:space="preserve">Chapter 4. </w:t>
      </w:r>
      <w:r w:rsidR="006579C9" w:rsidRPr="001865FF">
        <w:t>Developing an Accessibility Competency Framework through Iterative Co-Design</w:t>
      </w:r>
      <w:bookmarkEnd w:id="31"/>
    </w:p>
    <w:p w14:paraId="16247496" w14:textId="65B0D58F" w:rsidR="006579C9" w:rsidRPr="003B7303" w:rsidRDefault="006579C9" w:rsidP="00CB40B5">
      <w:pPr>
        <w:pStyle w:val="Heading3"/>
      </w:pPr>
      <w:bookmarkStart w:id="32" w:name="_Toc243923417"/>
      <w:r w:rsidRPr="003B7303">
        <w:t>Introduction</w:t>
      </w:r>
      <w:bookmarkEnd w:id="32"/>
    </w:p>
    <w:p w14:paraId="0F996E25" w14:textId="77777777" w:rsidR="006579C9" w:rsidRPr="003B7303" w:rsidRDefault="006579C9" w:rsidP="006579C9">
      <w:pPr>
        <w:pStyle w:val="BodyCopy"/>
      </w:pPr>
      <w:r w:rsidRPr="003B7303">
        <w:t>Accessibility is increasingly recognized as both a regulatory requirement and an essential component of organizational quality, innovation, and inclusion. Legislative frameworks such as the Accessible Canada Act (2019) and the Accessibility for Ontarians with Disabilities Act establish expectations for barrier identification, removal, and prevention across employment, digital environments, communications, and service delivery. Despite growing regulatory clarity, many organizations continue to approach accessibility as an isolated compliance activity rather than as an integrated capability embedded within organizational systems, decision-making processes, and professional competencies.</w:t>
      </w:r>
    </w:p>
    <w:p w14:paraId="0C233824" w14:textId="6C28AC63" w:rsidR="006579C9" w:rsidRDefault="006579C9" w:rsidP="006579C9">
      <w:pPr>
        <w:pStyle w:val="BodyCopy"/>
      </w:pPr>
      <w:r w:rsidRPr="003B7303">
        <w:t xml:space="preserve">This </w:t>
      </w:r>
      <w:r w:rsidR="00994626">
        <w:t>chapter</w:t>
      </w:r>
      <w:r w:rsidRPr="003B7303">
        <w:t xml:space="preserve"> presents the development of an Accessibility Competency Framework designed to support organizations in embedding accessibility as a distributed capability.</w:t>
      </w:r>
      <w:r>
        <w:t xml:space="preserve"> </w:t>
      </w:r>
      <w:r w:rsidRPr="003B7303">
        <w:t>The framework conceptualizes accessibility as an organizational capability requiring distributed expertise, shared responsibility, and iterative learning. Rather than presenting accessibility as a static technical requirement, the framework defines competencies that support continuous improvement and adaptive organizational learning across multiple professional roles.</w:t>
      </w:r>
    </w:p>
    <w:p w14:paraId="3E2D877B" w14:textId="77777777" w:rsidR="006579C9" w:rsidRPr="003B7303" w:rsidRDefault="006579C9" w:rsidP="006579C9">
      <w:pPr>
        <w:pStyle w:val="BodyCopy"/>
      </w:pPr>
      <w:r w:rsidRPr="003B7303">
        <w:t xml:space="preserve">The framework was developed through a multi-iteration co-design process involving individuals with lived experience of disability, accessibility practitioners, organizational leaders, and interdisciplinary contributors. The resulting framework conceptualizes accessibility as a sociotechnical </w:t>
      </w:r>
      <w:r w:rsidRPr="003B7303">
        <w:lastRenderedPageBreak/>
        <w:t>practice shaped by interactions between organizational culture, governance structures, technical systems, and professional competencies.</w:t>
      </w:r>
    </w:p>
    <w:p w14:paraId="73B361AE" w14:textId="77777777" w:rsidR="006579C9" w:rsidRPr="003B7303" w:rsidRDefault="006579C9" w:rsidP="006579C9">
      <w:pPr>
        <w:pStyle w:val="BodyCopy"/>
      </w:pPr>
      <w:r w:rsidRPr="003B7303">
        <w:t>A recurring challenge observed across sectors is ambiguity regarding responsibility for accessibility implementation. Accessibility initiatives are often dependent on individual champions or technical specialists rather than supported through coordinated institutional mechanisms. Research in sociotechnical systems demonstrates that sustainable change requires alignment between social practices, organizational structures, and technological infrastructures</w:t>
      </w:r>
      <w:r>
        <w:t>.</w:t>
      </w:r>
    </w:p>
    <w:p w14:paraId="43B754E9" w14:textId="77777777" w:rsidR="006579C9" w:rsidRDefault="006579C9" w:rsidP="006579C9">
      <w:pPr>
        <w:pStyle w:val="BodyCopy"/>
      </w:pPr>
      <w:r w:rsidRPr="003B7303">
        <w:t xml:space="preserve">From the outset, co-design was positioned as both a methodological approach and a competency outcome. Co-design refers to collaborative processes in which people with lived experience of disability participate as equal partners in defining problems and developing solutions. Participatory design literature demonstrates that engaging affected communities throughout design processes improves both ethical integrity and solution effectiveness (Frauenberger et al., 2020). </w:t>
      </w:r>
      <w:r w:rsidRPr="00517797">
        <w:t>Within accessibility practice, co-design operationalizes the principle “Nothing About Us Without Us,” (Charlton, 1998) emphasizing shared decision-making authority.</w:t>
      </w:r>
      <w:r w:rsidRPr="00F17571">
        <w:t xml:space="preserve"> </w:t>
      </w:r>
    </w:p>
    <w:p w14:paraId="6B413C7E" w14:textId="77777777" w:rsidR="006579C9" w:rsidRDefault="006579C9" w:rsidP="006579C9">
      <w:pPr>
        <w:pStyle w:val="BodyCopy"/>
      </w:pPr>
      <w:r w:rsidRPr="003B7303">
        <w:t>The development process integrated three iterative co-design stages conducted between 2023 and January 2026. Each iteration contributed empirical insights into how accessibility competencies are understood, applied, and constrained within organizational contexts.</w:t>
      </w:r>
    </w:p>
    <w:p w14:paraId="40BAA369" w14:textId="77777777" w:rsidR="006579C9" w:rsidRPr="003B7303" w:rsidRDefault="006579C9" w:rsidP="006579C9">
      <w:pPr>
        <w:pStyle w:val="BodyCopy"/>
      </w:pPr>
      <w:r w:rsidRPr="003B7303">
        <w:t>Accessibility barriers may emerge across multiple contexts, including:</w:t>
      </w:r>
    </w:p>
    <w:p w14:paraId="531BD3E0" w14:textId="77777777" w:rsidR="006579C9" w:rsidRPr="008E72B8" w:rsidRDefault="006579C9" w:rsidP="008E72B8">
      <w:pPr>
        <w:pStyle w:val="ListParagraph"/>
      </w:pPr>
      <w:r w:rsidRPr="008E72B8">
        <w:t xml:space="preserve">digital systems </w:t>
      </w:r>
    </w:p>
    <w:p w14:paraId="6D9C2551" w14:textId="77777777" w:rsidR="006579C9" w:rsidRPr="008E72B8" w:rsidRDefault="006579C9" w:rsidP="008E72B8">
      <w:pPr>
        <w:pStyle w:val="ListParagraph"/>
      </w:pPr>
      <w:r w:rsidRPr="008E72B8">
        <w:t xml:space="preserve">workplace processes </w:t>
      </w:r>
    </w:p>
    <w:p w14:paraId="1A5098AD" w14:textId="77777777" w:rsidR="006579C9" w:rsidRPr="008E72B8" w:rsidRDefault="006579C9" w:rsidP="008E72B8">
      <w:pPr>
        <w:pStyle w:val="ListParagraph"/>
      </w:pPr>
      <w:r w:rsidRPr="008E72B8">
        <w:t xml:space="preserve">participation environments </w:t>
      </w:r>
    </w:p>
    <w:p w14:paraId="20FDEF41" w14:textId="77777777" w:rsidR="006579C9" w:rsidRPr="008E72B8" w:rsidRDefault="006579C9" w:rsidP="008E72B8">
      <w:pPr>
        <w:pStyle w:val="ListParagraph"/>
      </w:pPr>
      <w:r w:rsidRPr="008E72B8">
        <w:t xml:space="preserve">hiring procedures </w:t>
      </w:r>
    </w:p>
    <w:p w14:paraId="48D05240" w14:textId="77777777" w:rsidR="006579C9" w:rsidRPr="008E72B8" w:rsidRDefault="006579C9" w:rsidP="008E72B8">
      <w:pPr>
        <w:pStyle w:val="ListParagraph"/>
      </w:pPr>
      <w:r w:rsidRPr="008E72B8">
        <w:t xml:space="preserve">procurement decisions </w:t>
      </w:r>
    </w:p>
    <w:p w14:paraId="7AF03F95" w14:textId="77777777" w:rsidR="006579C9" w:rsidRPr="008E72B8" w:rsidRDefault="006579C9" w:rsidP="008E72B8">
      <w:pPr>
        <w:pStyle w:val="ListParagraph"/>
      </w:pPr>
      <w:r w:rsidRPr="008E72B8">
        <w:t xml:space="preserve">hybrid work arrangements </w:t>
      </w:r>
    </w:p>
    <w:p w14:paraId="6DC42B44" w14:textId="77777777" w:rsidR="006579C9" w:rsidRPr="008E72B8" w:rsidRDefault="006579C9" w:rsidP="008E72B8">
      <w:pPr>
        <w:pStyle w:val="ListParagraph"/>
      </w:pPr>
      <w:r w:rsidRPr="008E72B8">
        <w:lastRenderedPageBreak/>
        <w:t xml:space="preserve">communication structures </w:t>
      </w:r>
    </w:p>
    <w:p w14:paraId="19BCBE86" w14:textId="77777777" w:rsidR="006579C9" w:rsidRPr="008E72B8" w:rsidRDefault="006579C9" w:rsidP="008E72B8">
      <w:pPr>
        <w:pStyle w:val="ListParagraph"/>
      </w:pPr>
      <w:r w:rsidRPr="008E72B8">
        <w:t xml:space="preserve">physical environments </w:t>
      </w:r>
    </w:p>
    <w:p w14:paraId="78E5E707" w14:textId="77777777" w:rsidR="006579C9" w:rsidRPr="003B7303" w:rsidRDefault="006579C9" w:rsidP="006579C9">
      <w:pPr>
        <w:pStyle w:val="BodyCopy"/>
      </w:pPr>
      <w:r w:rsidRPr="003B7303">
        <w:t>Research examining accessible conferences and participation environments highlights how environmental conditions influence participation opportunities (Barrows et al., 2021).</w:t>
      </w:r>
    </w:p>
    <w:p w14:paraId="26DCFB45" w14:textId="77777777" w:rsidR="006579C9" w:rsidRPr="003B7303" w:rsidRDefault="006579C9" w:rsidP="006579C9">
      <w:pPr>
        <w:pStyle w:val="BodyCopy"/>
      </w:pPr>
      <w:r w:rsidRPr="003B7303">
        <w:t>Similarly, universal design approaches to employment demonstrate that accessibility barriers frequently occur across recruitment processes, onboarding practices, workplace communication structures, and career development pathways (CNIB, 2023a).</w:t>
      </w:r>
    </w:p>
    <w:p w14:paraId="06A04622" w14:textId="77777777" w:rsidR="006579C9" w:rsidRPr="003B7303" w:rsidRDefault="006579C9" w:rsidP="006579C9">
      <w:pPr>
        <w:pStyle w:val="BodyCopy"/>
      </w:pPr>
      <w:r w:rsidRPr="003B7303">
        <w:t>Procurement research indicates that purchasing decisions influence accessibility outcomes across supply chains, digital platforms, workplace technologies, and built environments (CNIB, 2023b).</w:t>
      </w:r>
    </w:p>
    <w:p w14:paraId="4DAF4571" w14:textId="77777777" w:rsidR="006579C9" w:rsidRPr="003B7303" w:rsidRDefault="006579C9" w:rsidP="006579C9">
      <w:pPr>
        <w:pStyle w:val="BodyCopy"/>
      </w:pPr>
      <w:r w:rsidRPr="003B7303">
        <w:t>Emerging research examining accessible artificial intelligence suggests that AI systems increasingly influence access to employment, services, and information environments (CNIB, 2024).</w:t>
      </w:r>
    </w:p>
    <w:p w14:paraId="5807D7A4" w14:textId="77777777" w:rsidR="006579C9" w:rsidRPr="003B7303" w:rsidRDefault="006579C9" w:rsidP="006579C9">
      <w:pPr>
        <w:pStyle w:val="BodyCopy"/>
      </w:pPr>
      <w:r w:rsidRPr="003B7303">
        <w:t>The framework is intended to:</w:t>
      </w:r>
    </w:p>
    <w:p w14:paraId="3FE89561" w14:textId="77777777" w:rsidR="006579C9" w:rsidRPr="003B7303" w:rsidRDefault="006579C9" w:rsidP="00B35DC4">
      <w:pPr>
        <w:pStyle w:val="ListParagraph"/>
      </w:pPr>
      <w:r w:rsidRPr="003B7303">
        <w:t xml:space="preserve">support dialogue across disciplines </w:t>
      </w:r>
    </w:p>
    <w:p w14:paraId="58B78C2B" w14:textId="77777777" w:rsidR="006579C9" w:rsidRPr="003B7303" w:rsidRDefault="006579C9" w:rsidP="00B35DC4">
      <w:pPr>
        <w:pStyle w:val="ListParagraph"/>
      </w:pPr>
      <w:r>
        <w:t>build</w:t>
      </w:r>
      <w:r w:rsidRPr="003B7303">
        <w:t xml:space="preserve"> relationships between accessibility roles </w:t>
      </w:r>
    </w:p>
    <w:p w14:paraId="148936F9" w14:textId="77777777" w:rsidR="006579C9" w:rsidRPr="003B7303" w:rsidRDefault="006579C9" w:rsidP="00B35DC4">
      <w:pPr>
        <w:pStyle w:val="ListParagraph"/>
      </w:pPr>
      <w:r w:rsidRPr="003B7303">
        <w:t xml:space="preserve">contribute to policy interpretation discussions </w:t>
      </w:r>
    </w:p>
    <w:p w14:paraId="6F0EB0C4" w14:textId="77777777" w:rsidR="006579C9" w:rsidRPr="003B7303" w:rsidRDefault="006579C9" w:rsidP="00B35DC4">
      <w:pPr>
        <w:pStyle w:val="ListParagraph"/>
      </w:pPr>
      <w:r w:rsidRPr="003B7303">
        <w:t xml:space="preserve">support organizational accessibility capacity development </w:t>
      </w:r>
    </w:p>
    <w:p w14:paraId="21A045E4" w14:textId="77777777" w:rsidR="006579C9" w:rsidRPr="003B7303" w:rsidRDefault="006579C9" w:rsidP="00B35DC4">
      <w:pPr>
        <w:pStyle w:val="ListParagraph"/>
      </w:pPr>
      <w:r w:rsidRPr="003B7303">
        <w:t>complement specialist accessibility expertise</w:t>
      </w:r>
    </w:p>
    <w:p w14:paraId="1CA60AE1" w14:textId="77777777" w:rsidR="006579C9" w:rsidRDefault="006579C9" w:rsidP="006579C9">
      <w:pPr>
        <w:pStyle w:val="Heading2"/>
        <w:sectPr w:rsidR="006579C9" w:rsidSect="006579C9">
          <w:pgSz w:w="12240" w:h="15840"/>
          <w:pgMar w:top="1440" w:right="1440" w:bottom="1440" w:left="1440" w:header="720" w:footer="720" w:gutter="0"/>
          <w:cols w:space="720"/>
          <w:docGrid w:linePitch="360"/>
        </w:sectPr>
      </w:pPr>
    </w:p>
    <w:p w14:paraId="28FC256B" w14:textId="690C6E76" w:rsidR="006579C9" w:rsidRPr="003B7303" w:rsidRDefault="006579C9" w:rsidP="00CB40B5">
      <w:pPr>
        <w:pStyle w:val="Heading3"/>
      </w:pPr>
      <w:bookmarkStart w:id="33" w:name="_Toc243923418"/>
      <w:r w:rsidRPr="003B7303">
        <w:lastRenderedPageBreak/>
        <w:t>Conceptual Foundations</w:t>
      </w:r>
      <w:bookmarkEnd w:id="33"/>
    </w:p>
    <w:p w14:paraId="6C343EE1" w14:textId="1053F65B" w:rsidR="006579C9" w:rsidRPr="0030550D" w:rsidRDefault="006579C9" w:rsidP="00B35DC4">
      <w:pPr>
        <w:pStyle w:val="Heading4"/>
      </w:pPr>
      <w:r w:rsidRPr="0030550D">
        <w:t>Accessibility as sociotechnical practice</w:t>
      </w:r>
    </w:p>
    <w:p w14:paraId="2B5D22BE" w14:textId="77777777" w:rsidR="006579C9" w:rsidRDefault="006579C9" w:rsidP="00B35DC4">
      <w:pPr>
        <w:pStyle w:val="BodyCopy"/>
      </w:pPr>
      <w:r w:rsidRPr="00340DDE">
        <w:t>Accessibility outcomes emerge through interactions between organizational processes, technologies, governance structures, and professional practices. Sociotechnical systems theory emphasizes that effective organizational performance depends on alignment between social and technical components (Baxter &amp; Sommerville, 2011).</w:t>
      </w:r>
    </w:p>
    <w:p w14:paraId="2F0AA72B" w14:textId="77777777" w:rsidR="006579C9" w:rsidRPr="00A126F3" w:rsidRDefault="006579C9" w:rsidP="00B35DC4">
      <w:pPr>
        <w:pStyle w:val="BodyCopy"/>
      </w:pPr>
      <w:r w:rsidRPr="00A126F3">
        <w:t>Accessibility barriers frequently arise when coordination across organizational roles is fragmented or when accessibility considerations are introduced only after systems or processes have already been established. Accessibility challenges frequently originate not from lack of technical knowledge alone but from misalignment between institutional decision-making processes and accessibility objectives. For example, procurement practices, enterprise technology selection processes, and internal communication norms may inadvertently create barriers when accessibility considerations are not integrated into planning stages.</w:t>
      </w:r>
    </w:p>
    <w:p w14:paraId="46BBF5C9" w14:textId="77777777" w:rsidR="006579C9" w:rsidRPr="003B7303" w:rsidRDefault="006579C9" w:rsidP="00B35DC4">
      <w:pPr>
        <w:pStyle w:val="BodyCopy"/>
      </w:pPr>
      <w:r>
        <w:t>In organizational development, sociotechnical</w:t>
      </w:r>
      <w:r w:rsidRPr="00340DDE">
        <w:t xml:space="preserve"> capability is an organization’s ability to jointly optimize its social (people, structure, skills) and technical (tools, infrastructure, processes) elements</w:t>
      </w:r>
      <w:r>
        <w:t>.</w:t>
      </w:r>
      <w:r w:rsidRPr="00340DDE">
        <w:t xml:space="preserve"> Conceptualizing accessibility as a sociotechnical capability supports movement from reactive remediation toward proactive barrier prevention.</w:t>
      </w:r>
    </w:p>
    <w:p w14:paraId="33D0FFB4" w14:textId="77777777" w:rsidR="006579C9" w:rsidRPr="003B7303" w:rsidRDefault="006579C9" w:rsidP="00B35DC4">
      <w:pPr>
        <w:pStyle w:val="BodyCopy"/>
      </w:pPr>
      <w:r w:rsidRPr="003B7303">
        <w:t>Accessibility outcomes may be influenced by decisions related to:</w:t>
      </w:r>
    </w:p>
    <w:p w14:paraId="73EE7481" w14:textId="77777777" w:rsidR="006579C9" w:rsidRPr="003B7303" w:rsidRDefault="006579C9" w:rsidP="008E72B8">
      <w:pPr>
        <w:pStyle w:val="ListParagraph"/>
      </w:pPr>
      <w:r w:rsidRPr="003B7303">
        <w:t xml:space="preserve">technology selection </w:t>
      </w:r>
    </w:p>
    <w:p w14:paraId="1DF86A15" w14:textId="77777777" w:rsidR="006579C9" w:rsidRPr="003B7303" w:rsidRDefault="006579C9" w:rsidP="008E72B8">
      <w:pPr>
        <w:pStyle w:val="ListParagraph"/>
      </w:pPr>
      <w:r w:rsidRPr="003B7303">
        <w:t xml:space="preserve">document design </w:t>
      </w:r>
    </w:p>
    <w:p w14:paraId="5E0A6CC9" w14:textId="77777777" w:rsidR="006579C9" w:rsidRPr="003B7303" w:rsidRDefault="006579C9" w:rsidP="008E72B8">
      <w:pPr>
        <w:pStyle w:val="ListParagraph"/>
      </w:pPr>
      <w:r w:rsidRPr="003B7303">
        <w:t xml:space="preserve">meeting structures </w:t>
      </w:r>
    </w:p>
    <w:p w14:paraId="50FC4DF5" w14:textId="77777777" w:rsidR="006579C9" w:rsidRPr="003B7303" w:rsidRDefault="006579C9" w:rsidP="008E72B8">
      <w:pPr>
        <w:pStyle w:val="ListParagraph"/>
      </w:pPr>
      <w:r w:rsidRPr="003B7303">
        <w:t xml:space="preserve">procurement criteria </w:t>
      </w:r>
    </w:p>
    <w:p w14:paraId="7A47A244" w14:textId="77777777" w:rsidR="006579C9" w:rsidRPr="003B7303" w:rsidRDefault="006579C9" w:rsidP="008E72B8">
      <w:pPr>
        <w:pStyle w:val="ListParagraph"/>
      </w:pPr>
      <w:r w:rsidRPr="003B7303">
        <w:t xml:space="preserve">hiring processes </w:t>
      </w:r>
    </w:p>
    <w:p w14:paraId="29290AFB" w14:textId="77777777" w:rsidR="006579C9" w:rsidRPr="003B7303" w:rsidRDefault="006579C9" w:rsidP="008E72B8">
      <w:pPr>
        <w:pStyle w:val="ListParagraph"/>
      </w:pPr>
      <w:r w:rsidRPr="003B7303">
        <w:t xml:space="preserve">information workflows </w:t>
      </w:r>
    </w:p>
    <w:p w14:paraId="269717D3" w14:textId="77777777" w:rsidR="006579C9" w:rsidRPr="003B7303" w:rsidRDefault="006579C9" w:rsidP="008E72B8">
      <w:pPr>
        <w:pStyle w:val="ListParagraph"/>
      </w:pPr>
      <w:r w:rsidRPr="003B7303">
        <w:lastRenderedPageBreak/>
        <w:t xml:space="preserve">governance structures </w:t>
      </w:r>
    </w:p>
    <w:p w14:paraId="0D79CEED" w14:textId="77777777" w:rsidR="006579C9" w:rsidRPr="003B7303" w:rsidRDefault="006579C9" w:rsidP="008E72B8">
      <w:pPr>
        <w:pStyle w:val="ListParagraph"/>
      </w:pPr>
      <w:r w:rsidRPr="003B7303">
        <w:t xml:space="preserve">communication norms </w:t>
      </w:r>
    </w:p>
    <w:p w14:paraId="15040256" w14:textId="77777777" w:rsidR="006579C9" w:rsidRPr="003B7303" w:rsidRDefault="006579C9" w:rsidP="00B35DC4">
      <w:pPr>
        <w:pStyle w:val="BodyCopy"/>
      </w:pPr>
      <w:r w:rsidRPr="003B7303">
        <w:t>Accessible procurement research demonstrates that accessibility requirements embedded in purchasing processes can influence accessibility outcomes across digital systems and workplace environments (CNIB, 2023b).</w:t>
      </w:r>
    </w:p>
    <w:p w14:paraId="55DA6579" w14:textId="77777777" w:rsidR="006579C9" w:rsidRPr="003B7303" w:rsidRDefault="006579C9" w:rsidP="00B35DC4">
      <w:pPr>
        <w:pStyle w:val="BodyCopy"/>
      </w:pPr>
      <w:r w:rsidRPr="003B7303">
        <w:t>Understanding accessibility as a sociotechnical capability highlights the importance of coordination between technical expertise, organizational processes, and participation practices.</w:t>
      </w:r>
    </w:p>
    <w:p w14:paraId="3673B0B1" w14:textId="25B3B1CF" w:rsidR="006579C9" w:rsidRPr="004D7C61" w:rsidRDefault="006579C9" w:rsidP="00B35DC4">
      <w:pPr>
        <w:pStyle w:val="Heading4"/>
        <w:rPr>
          <w:rFonts w:eastAsiaTheme="minorHAnsi"/>
        </w:rPr>
      </w:pPr>
      <w:r w:rsidRPr="004D7C61">
        <w:rPr>
          <w:rFonts w:eastAsiaTheme="minorHAnsi"/>
        </w:rPr>
        <w:t>Critical Disability Theory and Epistemic Justice</w:t>
      </w:r>
    </w:p>
    <w:p w14:paraId="0F4E590F" w14:textId="77777777" w:rsidR="006579C9" w:rsidRPr="004D7C61" w:rsidRDefault="006579C9" w:rsidP="00B35DC4">
      <w:pPr>
        <w:pStyle w:val="BodyCopy"/>
      </w:pPr>
      <w:r w:rsidRPr="004D7C61">
        <w:t>Critical disability studies conceptualize disability as arising from interactions between individuals and environments rather than as inherent individual deficits (Oliver, 1990)</w:t>
      </w:r>
      <w:r>
        <w:t>, this is often framed as the social model of disability</w:t>
      </w:r>
      <w:r w:rsidRPr="004D7C61">
        <w:t>. Epistemic justice theory further highlights how marginalized perspectives are frequently excluded from knowledge production processes (Fricker, 2007).</w:t>
      </w:r>
    </w:p>
    <w:p w14:paraId="4BBB575C" w14:textId="77777777" w:rsidR="006579C9" w:rsidRPr="004D7C61" w:rsidRDefault="006579C9" w:rsidP="00B35DC4">
      <w:pPr>
        <w:pStyle w:val="BodyCopy"/>
      </w:pPr>
      <w:r w:rsidRPr="004D7C61">
        <w:t>Co-design methodologies respond to these challenges by positioning lived experience as a legitimate form of expertise informing organizational decision-making processes.</w:t>
      </w:r>
    </w:p>
    <w:p w14:paraId="6D134620" w14:textId="77777777" w:rsidR="006579C9" w:rsidRPr="004D7C61" w:rsidRDefault="006579C9" w:rsidP="00B35DC4">
      <w:pPr>
        <w:pStyle w:val="BodyCopy"/>
      </w:pPr>
      <w:r w:rsidRPr="004D7C61">
        <w:t>Co-design participants emphasized the importance of recognizing lived experience contributions as expertise rather than informal consultation.</w:t>
      </w:r>
    </w:p>
    <w:p w14:paraId="1776346F" w14:textId="77777777" w:rsidR="006579C9" w:rsidRPr="004D7C61" w:rsidRDefault="006579C9" w:rsidP="00B35DC4">
      <w:pPr>
        <w:pStyle w:val="BodyCopy"/>
      </w:pPr>
      <w:r w:rsidRPr="004D7C61">
        <w:t>Intersectionality theory further informs accessibility practice by recognizing interactions between disability, race, gender, and other social identities (Crenshaw, 1989). Co-design participants highlighted the importance of cultural humility in competency development.</w:t>
      </w:r>
    </w:p>
    <w:p w14:paraId="2CC65513" w14:textId="414AD60D" w:rsidR="006579C9" w:rsidRPr="003B7303" w:rsidRDefault="006579C9" w:rsidP="00B35DC4">
      <w:pPr>
        <w:pStyle w:val="Heading4"/>
      </w:pPr>
      <w:r w:rsidRPr="003B7303">
        <w:lastRenderedPageBreak/>
        <w:t>Co-design and lived experience as knowledge</w:t>
      </w:r>
    </w:p>
    <w:p w14:paraId="4FBA9012" w14:textId="77777777" w:rsidR="006579C9" w:rsidRPr="003B7303" w:rsidRDefault="006579C9" w:rsidP="00B35DC4">
      <w:pPr>
        <w:pStyle w:val="BodyCopy"/>
      </w:pPr>
      <w:r w:rsidRPr="003B7303">
        <w:t>The principle “Nothing About Us Without Us” emphasizes that people with lived experience of disability should participate in decision-making processes affecting accessibility (Charlton, 1998).</w:t>
      </w:r>
    </w:p>
    <w:p w14:paraId="4335D808" w14:textId="77777777" w:rsidR="006579C9" w:rsidRPr="003B7303" w:rsidRDefault="006579C9" w:rsidP="00B35DC4">
      <w:pPr>
        <w:pStyle w:val="BodyCopy"/>
      </w:pPr>
      <w:r w:rsidRPr="003B7303">
        <w:t>Arnstein’s ladder of participation describes participation as a continuum ranging from tokenistic consultation to partnership and shared decision-making (Arnstein, 1969).</w:t>
      </w:r>
    </w:p>
    <w:p w14:paraId="03AD8E6A" w14:textId="77777777" w:rsidR="006579C9" w:rsidRPr="004D7C61" w:rsidRDefault="006579C9" w:rsidP="00B35DC4">
      <w:pPr>
        <w:pStyle w:val="BodyCopy"/>
      </w:pPr>
      <w:r w:rsidRPr="004D7C61">
        <w:t>Participatory design literature demonstrates that collaborative design processes produce more effective and inclusive solutions (Sanders &amp; Stappers, 2008). However, co-design is frequently treated as a project activity rather than as an organizational competency</w:t>
      </w:r>
      <w:r>
        <w:t xml:space="preserve"> or process</w:t>
      </w:r>
      <w:r w:rsidRPr="004D7C61">
        <w:t>.</w:t>
      </w:r>
    </w:p>
    <w:p w14:paraId="343D3460" w14:textId="77777777" w:rsidR="006579C9" w:rsidRPr="004D7C61" w:rsidRDefault="006579C9" w:rsidP="00B35DC4">
      <w:pPr>
        <w:pStyle w:val="BodyCopy"/>
      </w:pPr>
      <w:r w:rsidRPr="004D7C61">
        <w:t>Positioning co-design as a competency emphasizes shared responsibility for accessibility outcomes across roles and organizational levels. Arnstein’s (1969) participation framework illustrates how consultation without power redistribution may reinforce inequities.</w:t>
      </w:r>
    </w:p>
    <w:p w14:paraId="2B0F25BC" w14:textId="77777777" w:rsidR="006579C9" w:rsidRPr="003B7303" w:rsidRDefault="006579C9" w:rsidP="00B35DC4">
      <w:pPr>
        <w:pStyle w:val="BodyCopy"/>
      </w:pPr>
      <w:r w:rsidRPr="004D7C61">
        <w:t>Co-design participants emphasized that accessibility initiatives should be developed collaboratively rather than through hierarchical decision-making structures.</w:t>
      </w:r>
    </w:p>
    <w:p w14:paraId="7F27757C" w14:textId="77777777" w:rsidR="006579C9" w:rsidRPr="003B7303" w:rsidRDefault="006579C9" w:rsidP="00B35DC4">
      <w:pPr>
        <w:pStyle w:val="BodyCopy"/>
      </w:pPr>
      <w:r w:rsidRPr="003B7303">
        <w:t>Co-design approaches may support development of practices that reflect diverse participation needs across communication, environmental, technological, and organizational contexts.</w:t>
      </w:r>
      <w:r>
        <w:t xml:space="preserve"> </w:t>
      </w:r>
      <w:r w:rsidRPr="003B7303">
        <w:t>Co-design processes may also support cultural humility by encouraging reflexivity regarding power dynamics and knowledge hierarchies.</w:t>
      </w:r>
    </w:p>
    <w:p w14:paraId="27D30E3C" w14:textId="5F03A6F9" w:rsidR="006579C9" w:rsidRDefault="006579C9" w:rsidP="001865FF">
      <w:pPr>
        <w:pStyle w:val="Heading4"/>
      </w:pPr>
      <w:r w:rsidRPr="003B7303">
        <w:t>Distributed accessibility competency</w:t>
      </w:r>
      <w:r>
        <w:t>, organizational capability, and maturity</w:t>
      </w:r>
    </w:p>
    <w:p w14:paraId="66D5D4C2" w14:textId="77777777" w:rsidR="006579C9" w:rsidRPr="00232B5A" w:rsidRDefault="006579C9" w:rsidP="001865FF">
      <w:pPr>
        <w:pStyle w:val="BodyCopy"/>
      </w:pPr>
      <w:r w:rsidRPr="00232B5A">
        <w:t xml:space="preserve">Competency frameworks provide mechanisms for operationalizing complex organizational goals by translating them into structured, developmental pathways. Capability maturity models similarly describe how organizations </w:t>
      </w:r>
      <w:r w:rsidRPr="00232B5A">
        <w:lastRenderedPageBreak/>
        <w:t>progress from ad hoc practices toward the systematic integration of competencies within governance, policy, and operational structures (Paulk et al., 1993).</w:t>
      </w:r>
    </w:p>
    <w:p w14:paraId="345002D3" w14:textId="77777777" w:rsidR="006579C9" w:rsidRPr="00232B5A" w:rsidRDefault="006579C9" w:rsidP="001865FF">
      <w:pPr>
        <w:pStyle w:val="BodyCopy"/>
      </w:pPr>
      <w:r w:rsidRPr="00232B5A">
        <w:t xml:space="preserve">Co-design findings indicated that accessibility responsibilities are frequently distributed informally across organizations, resulting in inconsistent implementation between teams and functional areas. These findings informed the inclusion of </w:t>
      </w:r>
      <w:r>
        <w:t>Domain 5 “</w:t>
      </w:r>
      <w:r w:rsidRPr="002D5794">
        <w:rPr>
          <w:b/>
          <w:bCs/>
        </w:rPr>
        <w:t>Organizational Accessibility and Accountability</w:t>
      </w:r>
      <w:r>
        <w:rPr>
          <w:i/>
          <w:iCs/>
        </w:rPr>
        <w:t>”</w:t>
      </w:r>
      <w:r w:rsidRPr="00232B5A">
        <w:t xml:space="preserve"> as a distinct domain within the framework, explicitly addressing governance, role clarity, and structural alignment.</w:t>
      </w:r>
    </w:p>
    <w:p w14:paraId="7C892527" w14:textId="77777777" w:rsidR="006579C9" w:rsidRPr="00232B5A" w:rsidRDefault="006579C9" w:rsidP="001865FF">
      <w:pPr>
        <w:pStyle w:val="BodyCopy"/>
      </w:pPr>
      <w:r w:rsidRPr="00232B5A">
        <w:t>Professional accessibility competency frameworks</w:t>
      </w:r>
      <w:r>
        <w:t xml:space="preserve"> </w:t>
      </w:r>
      <w:r w:rsidRPr="00232B5A">
        <w:t>(IAAP, 2023) identify multiple specialized areas of expertise</w:t>
      </w:r>
      <w:r>
        <w:t>,</w:t>
      </w:r>
      <w:r w:rsidRPr="00232B5A">
        <w:t xml:space="preserve"> including:</w:t>
      </w:r>
    </w:p>
    <w:p w14:paraId="34633477" w14:textId="77777777" w:rsidR="006579C9" w:rsidRPr="00232B5A" w:rsidRDefault="006579C9" w:rsidP="001865FF">
      <w:pPr>
        <w:pStyle w:val="ListParagraph"/>
      </w:pPr>
      <w:r w:rsidRPr="00232B5A">
        <w:t>assistive technologies</w:t>
      </w:r>
    </w:p>
    <w:p w14:paraId="5CE09744" w14:textId="77777777" w:rsidR="006579C9" w:rsidRPr="00232B5A" w:rsidRDefault="006579C9" w:rsidP="001865FF">
      <w:pPr>
        <w:pStyle w:val="ListParagraph"/>
      </w:pPr>
      <w:r w:rsidRPr="00232B5A">
        <w:t>digital accessibility</w:t>
      </w:r>
    </w:p>
    <w:p w14:paraId="2F17E3F8" w14:textId="77777777" w:rsidR="006579C9" w:rsidRPr="00232B5A" w:rsidRDefault="006579C9" w:rsidP="001865FF">
      <w:pPr>
        <w:pStyle w:val="ListParagraph"/>
      </w:pPr>
      <w:r w:rsidRPr="00232B5A">
        <w:t>built environment accessibility</w:t>
      </w:r>
    </w:p>
    <w:p w14:paraId="429179E2" w14:textId="77777777" w:rsidR="006579C9" w:rsidRPr="00232B5A" w:rsidRDefault="006579C9" w:rsidP="001865FF">
      <w:pPr>
        <w:pStyle w:val="ListParagraph"/>
      </w:pPr>
      <w:r w:rsidRPr="00232B5A">
        <w:t>universal design</w:t>
      </w:r>
    </w:p>
    <w:p w14:paraId="61FDB64E" w14:textId="77777777" w:rsidR="006579C9" w:rsidRPr="00232B5A" w:rsidRDefault="006579C9" w:rsidP="001865FF">
      <w:pPr>
        <w:pStyle w:val="ListParagraph"/>
      </w:pPr>
      <w:r w:rsidRPr="00232B5A">
        <w:t>organizational leadership</w:t>
      </w:r>
    </w:p>
    <w:p w14:paraId="5D47BB0E" w14:textId="77777777" w:rsidR="006579C9" w:rsidRPr="00232B5A" w:rsidRDefault="006579C9" w:rsidP="001865FF">
      <w:pPr>
        <w:pStyle w:val="ListParagraph"/>
      </w:pPr>
      <w:r w:rsidRPr="00232B5A">
        <w:t>policy interpretation</w:t>
      </w:r>
    </w:p>
    <w:p w14:paraId="23DFF76E" w14:textId="77777777" w:rsidR="006579C9" w:rsidRPr="00232B5A" w:rsidRDefault="006579C9" w:rsidP="001865FF">
      <w:pPr>
        <w:pStyle w:val="BodyCopy"/>
      </w:pPr>
      <w:r w:rsidRPr="00232B5A">
        <w:t>However, accessibility outcomes are often shaped by decisions made by individuals who do not hold formal accessibility roles. Work related to communications, participation structures, procurement, program design, or technology selection can have significant accessibility implications, regardless of whether accessibility is an explicit responsibility within a given role.</w:t>
      </w:r>
    </w:p>
    <w:p w14:paraId="62240DA7" w14:textId="77777777" w:rsidR="006579C9" w:rsidRPr="00232B5A" w:rsidRDefault="006579C9" w:rsidP="001865FF">
      <w:pPr>
        <w:pStyle w:val="BodyCopy"/>
      </w:pPr>
      <w:r w:rsidRPr="00232B5A">
        <w:t xml:space="preserve">Distributed competency models recognize this reality by describing how accessibility knowledge and responsibility may be shared across roles while preserving the importance of specialist expertise. Distributed competency does not imply that all roles require the same depth or breadth of accessibility knowledge. Rather, it reflects an understanding that </w:t>
      </w:r>
      <w:r w:rsidRPr="00232B5A">
        <w:lastRenderedPageBreak/>
        <w:t>accessibility considerations emerge across diverse professional contexts and organizational functions, necessitating both role-appropriate competency development and clear accountability structures.</w:t>
      </w:r>
    </w:p>
    <w:p w14:paraId="1C2C9F94" w14:textId="77777777" w:rsidR="006579C9" w:rsidRDefault="006579C9" w:rsidP="006579C9">
      <w:pPr>
        <w:pStyle w:val="Heading2"/>
        <w:sectPr w:rsidR="006579C9" w:rsidSect="006579C9">
          <w:pgSz w:w="12240" w:h="15840"/>
          <w:pgMar w:top="1440" w:right="1440" w:bottom="1440" w:left="1440" w:header="720" w:footer="720" w:gutter="0"/>
          <w:cols w:space="720"/>
          <w:docGrid w:linePitch="360"/>
        </w:sectPr>
      </w:pPr>
    </w:p>
    <w:p w14:paraId="76F2B76C" w14:textId="34C52CC6" w:rsidR="006579C9" w:rsidRPr="00B04289" w:rsidRDefault="006579C9" w:rsidP="00CB40B5">
      <w:pPr>
        <w:pStyle w:val="Heading3"/>
      </w:pPr>
      <w:bookmarkStart w:id="34" w:name="_Toc243923419"/>
      <w:r w:rsidRPr="00B04289">
        <w:lastRenderedPageBreak/>
        <w:t>Methodology</w:t>
      </w:r>
      <w:bookmarkEnd w:id="34"/>
    </w:p>
    <w:p w14:paraId="58738F16" w14:textId="29B02EE7" w:rsidR="006579C9" w:rsidRDefault="006579C9" w:rsidP="001865FF">
      <w:pPr>
        <w:pStyle w:val="Heading4"/>
      </w:pPr>
      <w:r w:rsidRPr="00232B5A">
        <w:t>Study design</w:t>
      </w:r>
    </w:p>
    <w:p w14:paraId="64452BB6" w14:textId="77777777" w:rsidR="006579C9" w:rsidRPr="00A25881" w:rsidRDefault="006579C9" w:rsidP="0011003C">
      <w:pPr>
        <w:pStyle w:val="BodyCopy"/>
      </w:pPr>
      <w:r w:rsidRPr="00A25881">
        <w:t>This study employed a multi-iteration qualitative co-design methodology informed by community-based participatory research (CBPR) and participatory design traditions. The design emphasized collaboration with individuals possessing lived experience of disability alongside accessibility practitioners, organizational leaders, and subject matter experts. This methodological approach reflects a commitment to epistemic justice by recognizing lived experience as a form of expertise that informs both research design and organizational practice (Fricker, 2007).</w:t>
      </w:r>
    </w:p>
    <w:p w14:paraId="4CAAD476" w14:textId="77777777" w:rsidR="006579C9" w:rsidRPr="00A25881" w:rsidRDefault="006579C9" w:rsidP="0011003C">
      <w:pPr>
        <w:pStyle w:val="BodyCopy"/>
      </w:pPr>
      <w:r w:rsidRPr="00A25881">
        <w:t>The study was conducted across three iterative phases between 2023 and 2026. Each iteration contributed to the refinement of competency domains, level definitions, and organizational capability constructs. The iterative structure reflects established co-design models in which problem definition, solution development, and evaluation occur cyclically rather than sequentially.</w:t>
      </w:r>
    </w:p>
    <w:p w14:paraId="50A5898F" w14:textId="77777777" w:rsidR="006579C9" w:rsidRPr="00A25881" w:rsidRDefault="006579C9" w:rsidP="0011003C">
      <w:pPr>
        <w:pStyle w:val="BodyCopy"/>
      </w:pPr>
      <w:r w:rsidRPr="00A25881">
        <w:t>The methodological objective was not solely to gather feedback on an existing framework but to generate a traceable design logic demonstrating how competencies emerge through interaction between empirical evidence, theoretical frameworks, and practitioner knowledge.</w:t>
      </w:r>
    </w:p>
    <w:p w14:paraId="799B12DB" w14:textId="77777777" w:rsidR="006579C9" w:rsidRPr="00A25881" w:rsidRDefault="006579C9" w:rsidP="0011003C">
      <w:pPr>
        <w:pStyle w:val="BodyCopy"/>
      </w:pPr>
      <w:r w:rsidRPr="00A25881">
        <w:t>The approach combined:</w:t>
      </w:r>
    </w:p>
    <w:p w14:paraId="4D2F4894" w14:textId="77777777" w:rsidR="006579C9" w:rsidRPr="00A25881" w:rsidRDefault="006579C9" w:rsidP="008E72B8">
      <w:pPr>
        <w:pStyle w:val="ListParagraph"/>
      </w:pPr>
      <w:r w:rsidRPr="00A25881">
        <w:t xml:space="preserve">competency mapping </w:t>
      </w:r>
    </w:p>
    <w:p w14:paraId="2A003AB2" w14:textId="77777777" w:rsidR="006579C9" w:rsidRPr="00A25881" w:rsidRDefault="006579C9" w:rsidP="008E72B8">
      <w:pPr>
        <w:pStyle w:val="ListParagraph"/>
      </w:pPr>
      <w:r w:rsidRPr="00A25881">
        <w:t xml:space="preserve">participatory workshop design </w:t>
      </w:r>
    </w:p>
    <w:p w14:paraId="65D88BD7" w14:textId="77777777" w:rsidR="006579C9" w:rsidRPr="00A25881" w:rsidRDefault="006579C9" w:rsidP="008E72B8">
      <w:pPr>
        <w:pStyle w:val="ListParagraph"/>
      </w:pPr>
      <w:r w:rsidRPr="00A25881">
        <w:t xml:space="preserve">qualitative thematic synthesis </w:t>
      </w:r>
    </w:p>
    <w:p w14:paraId="3F799464" w14:textId="77777777" w:rsidR="006579C9" w:rsidRPr="00A25881" w:rsidRDefault="006579C9" w:rsidP="008E72B8">
      <w:pPr>
        <w:pStyle w:val="ListParagraph"/>
      </w:pPr>
      <w:r w:rsidRPr="00A25881">
        <w:t xml:space="preserve">iterative prototyping of framework structures </w:t>
      </w:r>
    </w:p>
    <w:p w14:paraId="363E9FA3" w14:textId="77777777" w:rsidR="006579C9" w:rsidRPr="00A25881" w:rsidRDefault="006579C9" w:rsidP="008E72B8">
      <w:pPr>
        <w:pStyle w:val="ListParagraph"/>
      </w:pPr>
      <w:r w:rsidRPr="00A25881">
        <w:t xml:space="preserve">reflexive analysis of researcher positionality </w:t>
      </w:r>
    </w:p>
    <w:p w14:paraId="1B7F0BDB" w14:textId="77777777" w:rsidR="006579C9" w:rsidRPr="00232B5A" w:rsidRDefault="006579C9" w:rsidP="0011003C">
      <w:pPr>
        <w:pStyle w:val="BodyCopy"/>
      </w:pPr>
      <w:r w:rsidRPr="00A25881">
        <w:lastRenderedPageBreak/>
        <w:t>Development artefacts documenting each stage of the process were preserved to ensure methodological transparency and traceability across iterations.</w:t>
      </w:r>
    </w:p>
    <w:p w14:paraId="73F689A7" w14:textId="1698BC90" w:rsidR="006579C9" w:rsidRDefault="006579C9" w:rsidP="001865FF">
      <w:pPr>
        <w:pStyle w:val="Heading4"/>
      </w:pPr>
      <w:r w:rsidRPr="00232B5A">
        <w:t>Iterative development structure</w:t>
      </w:r>
    </w:p>
    <w:p w14:paraId="540BB53E" w14:textId="77777777" w:rsidR="006579C9" w:rsidRPr="00DC5857" w:rsidRDefault="006579C9" w:rsidP="001865FF">
      <w:pPr>
        <w:pStyle w:val="Heading5"/>
      </w:pPr>
      <w:r w:rsidRPr="00DC5857">
        <w:t>Iteration 1 (2023): Foundational Competency Mapping</w:t>
      </w:r>
    </w:p>
    <w:p w14:paraId="6034E2D0" w14:textId="77777777" w:rsidR="006579C9" w:rsidRPr="00B91966" w:rsidRDefault="006579C9" w:rsidP="001865FF">
      <w:pPr>
        <w:pStyle w:val="BodyCopy"/>
      </w:pPr>
      <w:r w:rsidRPr="00B91966">
        <w:t>The first iteration took place during 2023 and involved a small internal working group, including researchers and professionals with lived experience of disability and expertise in accessibility-related practice areas.</w:t>
      </w:r>
      <w:r>
        <w:t xml:space="preserve"> It was an online collaborative development.</w:t>
      </w:r>
    </w:p>
    <w:p w14:paraId="67EE36DA" w14:textId="77777777" w:rsidR="006579C9" w:rsidRPr="00B91966" w:rsidRDefault="006579C9" w:rsidP="001865FF">
      <w:pPr>
        <w:pStyle w:val="BodyCopy"/>
      </w:pPr>
      <w:r w:rsidRPr="00B91966">
        <w:t>The primary artefact produced during this phase was a structured spreadsheet inventory of competency topics organized across four tiers: Knowledge, Beginner, Intermediate, and Advanced. The spreadsheet identified preliminary topic areas including accessible documents, accessible meetings, assistive technology awareness, communication practices, digital accessibility, policy literacy, and universal design principles.</w:t>
      </w:r>
    </w:p>
    <w:p w14:paraId="38BB3B9D" w14:textId="77777777" w:rsidR="006579C9" w:rsidRPr="00B91966" w:rsidRDefault="006579C9" w:rsidP="001865FF">
      <w:pPr>
        <w:pStyle w:val="BodyCopy"/>
      </w:pPr>
      <w:r w:rsidRPr="00B91966">
        <w:t>This early artefact functioned as a topic inventory and conceptual starting point rather than a finalized framework architecture. Analysis of the artefact revealed:</w:t>
      </w:r>
    </w:p>
    <w:p w14:paraId="01EAB787" w14:textId="77777777" w:rsidR="006579C9" w:rsidRPr="00B91966" w:rsidRDefault="006579C9" w:rsidP="008E72B8">
      <w:pPr>
        <w:pStyle w:val="ListParagraph"/>
      </w:pPr>
      <w:r w:rsidRPr="00B91966">
        <w:t xml:space="preserve">overlap between themes such as accessible meetings and presentations </w:t>
      </w:r>
    </w:p>
    <w:p w14:paraId="248F6014" w14:textId="77777777" w:rsidR="006579C9" w:rsidRPr="00B91966" w:rsidRDefault="006579C9" w:rsidP="008E72B8">
      <w:pPr>
        <w:pStyle w:val="ListParagraph"/>
      </w:pPr>
      <w:r w:rsidRPr="00B91966">
        <w:t xml:space="preserve">variation in abstraction level across competency statements </w:t>
      </w:r>
    </w:p>
    <w:p w14:paraId="2B65B54A" w14:textId="77777777" w:rsidR="006579C9" w:rsidRPr="00B91966" w:rsidRDefault="006579C9" w:rsidP="008E72B8">
      <w:pPr>
        <w:pStyle w:val="ListParagraph"/>
      </w:pPr>
      <w:r w:rsidRPr="00B91966">
        <w:t xml:space="preserve">emphasis on compliance-oriented terminology in some areas </w:t>
      </w:r>
    </w:p>
    <w:p w14:paraId="77E89013" w14:textId="77777777" w:rsidR="006579C9" w:rsidRPr="00B91966" w:rsidRDefault="006579C9" w:rsidP="008E72B8">
      <w:pPr>
        <w:pStyle w:val="ListParagraph"/>
      </w:pPr>
      <w:r w:rsidRPr="00B91966">
        <w:t xml:space="preserve">limited articulation of governance and accountability competencies </w:t>
      </w:r>
    </w:p>
    <w:p w14:paraId="2FEC31F3" w14:textId="77777777" w:rsidR="006579C9" w:rsidRPr="00B91966" w:rsidRDefault="006579C9" w:rsidP="001865FF">
      <w:pPr>
        <w:pStyle w:val="BodyCopy"/>
      </w:pPr>
      <w:r w:rsidRPr="00B91966">
        <w:t>Despite these limitations, Iteration 1 established a foundational taxonomy of accessibility competency topics and revealed early patterns requiring structural consolidation in later iterations.</w:t>
      </w:r>
    </w:p>
    <w:p w14:paraId="1344F34C" w14:textId="22C91497" w:rsidR="006579C9" w:rsidRPr="00B91966" w:rsidRDefault="006579C9" w:rsidP="001865FF">
      <w:pPr>
        <w:pStyle w:val="BodyCopy"/>
      </w:pPr>
      <w:r w:rsidRPr="00B91966">
        <w:lastRenderedPageBreak/>
        <w:t>Importantly, contributors to Iteration 1 included individuals with lived experience of disability, supporting alignment with participatory epistemological principles from the earliest stage of framework development.</w:t>
      </w:r>
    </w:p>
    <w:p w14:paraId="5736710A" w14:textId="77777777" w:rsidR="006579C9" w:rsidRPr="00D423F1" w:rsidRDefault="006579C9" w:rsidP="001865FF">
      <w:pPr>
        <w:pStyle w:val="Heading5"/>
      </w:pPr>
      <w:r w:rsidRPr="00D423F1">
        <w:t>Iteration 2 (March 11, 2024): External Community Co-Design Session</w:t>
      </w:r>
    </w:p>
    <w:p w14:paraId="5E9B82F1" w14:textId="77777777" w:rsidR="006579C9" w:rsidRPr="00D423F1" w:rsidRDefault="006579C9" w:rsidP="001C1B86">
      <w:pPr>
        <w:pStyle w:val="BodyCopy"/>
      </w:pPr>
      <w:r w:rsidRPr="00D423F1">
        <w:t xml:space="preserve">Iteration 2 occurred on March 11, 2024, during </w:t>
      </w:r>
      <w:r>
        <w:t>the CNIB</w:t>
      </w:r>
      <w:r w:rsidRPr="00D423F1">
        <w:t xml:space="preserve"> </w:t>
      </w:r>
      <w:r>
        <w:t>C</w:t>
      </w:r>
      <w:r w:rsidRPr="00D423F1">
        <w:t>o-</w:t>
      </w:r>
      <w:r>
        <w:t>D</w:t>
      </w:r>
      <w:r w:rsidRPr="00D423F1">
        <w:t>esign</w:t>
      </w:r>
      <w:r>
        <w:t xml:space="preserve"> Festival at Microsoft Canada in Toronto</w:t>
      </w:r>
      <w:r w:rsidRPr="00D423F1">
        <w:t>. Approximately 15 participants took part in</w:t>
      </w:r>
      <w:r>
        <w:t>-person during</w:t>
      </w:r>
      <w:r w:rsidRPr="00D423F1">
        <w:t xml:space="preserve"> the session.</w:t>
      </w:r>
    </w:p>
    <w:p w14:paraId="0EFB507D" w14:textId="77777777" w:rsidR="006579C9" w:rsidRPr="00D423F1" w:rsidRDefault="006579C9" w:rsidP="001C1B86">
      <w:pPr>
        <w:pStyle w:val="BodyCopy"/>
      </w:pPr>
      <w:r w:rsidRPr="00D423F1">
        <w:t>Participants primarily consisted of community members with lived experience of disability, including individuals identifying as blind, Deafblind, low vision, neurodivergent, and members of other disability communities. While a small number of participants had professional experience related to accessibility, the majority of contributors participated in the capacity of lived experience experts rather than as accessibility practitioners.</w:t>
      </w:r>
    </w:p>
    <w:p w14:paraId="5A4B8554" w14:textId="77777777" w:rsidR="006579C9" w:rsidRPr="00D423F1" w:rsidRDefault="006579C9" w:rsidP="001C1B86">
      <w:pPr>
        <w:pStyle w:val="BodyCopy"/>
      </w:pPr>
      <w:r w:rsidRPr="00D423F1">
        <w:t>The session was structured using facilitated discussion prompts designed to explore how accessibility competencies relate to workplace inclusion, organizational culture, and systemic barriers. Participants were invited to reflect on how competency frameworks might support cultural and attitudinal change across workplaces.</w:t>
      </w:r>
    </w:p>
    <w:p w14:paraId="1E46D104" w14:textId="77777777" w:rsidR="006579C9" w:rsidRPr="00D423F1" w:rsidRDefault="006579C9" w:rsidP="001C1B86">
      <w:pPr>
        <w:pStyle w:val="BodyCopy"/>
      </w:pPr>
      <w:r w:rsidRPr="00D423F1">
        <w:t>Discussion prompts addressed themes including:</w:t>
      </w:r>
    </w:p>
    <w:p w14:paraId="1DCD56B4" w14:textId="77777777" w:rsidR="006579C9" w:rsidRPr="00D423F1" w:rsidRDefault="006579C9" w:rsidP="008E72B8">
      <w:pPr>
        <w:pStyle w:val="ListParagraph"/>
      </w:pPr>
      <w:r w:rsidRPr="00D423F1">
        <w:t xml:space="preserve">how accessibility competencies influence workplace inclusion </w:t>
      </w:r>
    </w:p>
    <w:p w14:paraId="6983FF78" w14:textId="77777777" w:rsidR="006579C9" w:rsidRPr="00D423F1" w:rsidRDefault="006579C9" w:rsidP="008E72B8">
      <w:pPr>
        <w:pStyle w:val="ListParagraph"/>
      </w:pPr>
      <w:r w:rsidRPr="00D423F1">
        <w:t xml:space="preserve">how intersectional identities shape accessibility experiences </w:t>
      </w:r>
    </w:p>
    <w:p w14:paraId="07EC94C2" w14:textId="77777777" w:rsidR="006579C9" w:rsidRPr="00D423F1" w:rsidRDefault="006579C9" w:rsidP="008E72B8">
      <w:pPr>
        <w:pStyle w:val="ListParagraph"/>
      </w:pPr>
      <w:r w:rsidRPr="00D423F1">
        <w:t xml:space="preserve">which workplace systems require proactive accessibility planning </w:t>
      </w:r>
    </w:p>
    <w:p w14:paraId="1A139B1D" w14:textId="77777777" w:rsidR="006579C9" w:rsidRPr="00D423F1" w:rsidRDefault="006579C9" w:rsidP="008E72B8">
      <w:pPr>
        <w:pStyle w:val="ListParagraph"/>
      </w:pPr>
      <w:r w:rsidRPr="00D423F1">
        <w:t xml:space="preserve">how competency frameworks could promote structural change rather than individual adaptation </w:t>
      </w:r>
    </w:p>
    <w:p w14:paraId="7D3269B2" w14:textId="77777777" w:rsidR="006579C9" w:rsidRPr="00D423F1" w:rsidRDefault="006579C9" w:rsidP="001C1B86">
      <w:pPr>
        <w:pStyle w:val="BodyCopy"/>
      </w:pPr>
      <w:r w:rsidRPr="00D423F1">
        <w:lastRenderedPageBreak/>
        <w:t>Participants emphasized that accessibility competencies must extend beyond technical compliance and should include competencies related to power-sharing, cultural humility, and inclusive decision-making processes.</w:t>
      </w:r>
    </w:p>
    <w:p w14:paraId="120DBA6B" w14:textId="77777777" w:rsidR="006579C9" w:rsidRPr="00D423F1" w:rsidRDefault="006579C9" w:rsidP="001C1B86">
      <w:pPr>
        <w:pStyle w:val="BodyCopy"/>
      </w:pPr>
      <w:r w:rsidRPr="00D423F1">
        <w:t>This iteration strengthened the generalizability of the framework by incorporating perspectives external to the originating organizational context. Participant insights reinforced the importance of framing accessibility as a shared responsibility rather than a specialized technical function.</w:t>
      </w:r>
    </w:p>
    <w:p w14:paraId="33B54BF3" w14:textId="77777777" w:rsidR="006579C9" w:rsidRPr="00D423F1" w:rsidRDefault="006579C9" w:rsidP="001C1B86">
      <w:pPr>
        <w:pStyle w:val="Heading5"/>
      </w:pPr>
      <w:r w:rsidRPr="00D423F1">
        <w:t>Iteration 3 (January 29, 2026): Accessibility Task Force Co-Design Session</w:t>
      </w:r>
    </w:p>
    <w:p w14:paraId="4D2F8224" w14:textId="77777777" w:rsidR="006579C9" w:rsidRPr="00D423F1" w:rsidRDefault="006579C9" w:rsidP="001C1B86">
      <w:pPr>
        <w:pStyle w:val="BodyCopy"/>
      </w:pPr>
      <w:r w:rsidRPr="00D423F1">
        <w:t>The third iteration took place on</w:t>
      </w:r>
      <w:r>
        <w:t>line on</w:t>
      </w:r>
      <w:r w:rsidRPr="00D423F1">
        <w:t xml:space="preserve"> January 29, 2026, involving approximately 12 participants </w:t>
      </w:r>
      <w:r>
        <w:t xml:space="preserve">from CNIB’s internal </w:t>
      </w:r>
      <w:r w:rsidRPr="00D423F1">
        <w:t>Accessibility Task Force participating in a structured co-design session.</w:t>
      </w:r>
    </w:p>
    <w:p w14:paraId="32A08941" w14:textId="77777777" w:rsidR="006579C9" w:rsidRPr="00D423F1" w:rsidRDefault="006579C9" w:rsidP="001C1B86">
      <w:pPr>
        <w:pStyle w:val="BodyCopy"/>
      </w:pPr>
      <w:r w:rsidRPr="00D423F1">
        <w:t>Participants included professionals working across organizational functions such as communications, operations, research, marketing, accessibility roles, and leadership positions. Several participants also contributed lived experience perspectives.</w:t>
      </w:r>
    </w:p>
    <w:p w14:paraId="53BE44D9" w14:textId="77777777" w:rsidR="006579C9" w:rsidRPr="00D423F1" w:rsidRDefault="006579C9" w:rsidP="001C1B86">
      <w:pPr>
        <w:pStyle w:val="BodyCopy"/>
      </w:pPr>
      <w:r w:rsidRPr="00D423F1">
        <w:t>The session followed a structured facilitation protocol designed to identify relationships between competency development and organizational barriers. Activities included collaborative mapping exercises examining connections between accessibility barriers and institutional processes.</w:t>
      </w:r>
    </w:p>
    <w:p w14:paraId="4564288D" w14:textId="77777777" w:rsidR="006579C9" w:rsidRPr="00D423F1" w:rsidRDefault="006579C9" w:rsidP="001C1B86">
      <w:pPr>
        <w:pStyle w:val="BodyCopy"/>
      </w:pPr>
      <w:r w:rsidRPr="00D423F1">
        <w:t>Prompts encouraged participants to identify:</w:t>
      </w:r>
    </w:p>
    <w:p w14:paraId="2E747C65" w14:textId="77777777" w:rsidR="006579C9" w:rsidRPr="00D423F1" w:rsidRDefault="006579C9" w:rsidP="008E72B8">
      <w:pPr>
        <w:pStyle w:val="ListParagraph"/>
      </w:pPr>
      <w:r w:rsidRPr="00D423F1">
        <w:t xml:space="preserve">attitudinal barriers (for example assumptions about disability) </w:t>
      </w:r>
    </w:p>
    <w:p w14:paraId="45D4F9FF" w14:textId="77777777" w:rsidR="006579C9" w:rsidRPr="00D423F1" w:rsidRDefault="006579C9" w:rsidP="008E72B8">
      <w:pPr>
        <w:pStyle w:val="ListParagraph"/>
      </w:pPr>
      <w:r w:rsidRPr="00D423F1">
        <w:t xml:space="preserve">structural barriers (for example procurement processes or inaccessible enterprise systems) </w:t>
      </w:r>
    </w:p>
    <w:p w14:paraId="1687742C" w14:textId="77777777" w:rsidR="006579C9" w:rsidRPr="00D423F1" w:rsidRDefault="006579C9" w:rsidP="008E72B8">
      <w:pPr>
        <w:pStyle w:val="ListParagraph"/>
      </w:pPr>
      <w:r w:rsidRPr="00D423F1">
        <w:t xml:space="preserve">gaps in organizational accountability mechanisms </w:t>
      </w:r>
    </w:p>
    <w:p w14:paraId="658068DD" w14:textId="77777777" w:rsidR="006579C9" w:rsidRPr="00D423F1" w:rsidRDefault="006579C9" w:rsidP="008E72B8">
      <w:pPr>
        <w:pStyle w:val="ListParagraph"/>
      </w:pPr>
      <w:r w:rsidRPr="00D423F1">
        <w:t xml:space="preserve">challenges related to distributed responsibility for accessibility work </w:t>
      </w:r>
    </w:p>
    <w:p w14:paraId="0A43DEEC" w14:textId="77777777" w:rsidR="006579C9" w:rsidRPr="00D423F1" w:rsidRDefault="006579C9" w:rsidP="001C1B86">
      <w:pPr>
        <w:pStyle w:val="BodyCopy"/>
      </w:pPr>
      <w:r w:rsidRPr="00D423F1">
        <w:lastRenderedPageBreak/>
        <w:t>Participants identified recurring tensions including:</w:t>
      </w:r>
    </w:p>
    <w:p w14:paraId="68CBC824" w14:textId="77777777" w:rsidR="006579C9" w:rsidRPr="00D423F1" w:rsidRDefault="006579C9" w:rsidP="008E72B8">
      <w:pPr>
        <w:pStyle w:val="ListParagraph"/>
      </w:pPr>
      <w:r w:rsidRPr="00D423F1">
        <w:t xml:space="preserve">ambiguity regarding ownership of accessibility responsibilities </w:t>
      </w:r>
    </w:p>
    <w:p w14:paraId="6CCA070F" w14:textId="77777777" w:rsidR="006579C9" w:rsidRPr="00D423F1" w:rsidRDefault="006579C9" w:rsidP="008E72B8">
      <w:pPr>
        <w:pStyle w:val="ListParagraph"/>
      </w:pPr>
      <w:r w:rsidRPr="00D423F1">
        <w:t xml:space="preserve">reliance on informal accessibility champions </w:t>
      </w:r>
    </w:p>
    <w:p w14:paraId="1D7DBF91" w14:textId="77777777" w:rsidR="006579C9" w:rsidRPr="00D423F1" w:rsidRDefault="006579C9" w:rsidP="008E72B8">
      <w:pPr>
        <w:pStyle w:val="ListParagraph"/>
      </w:pPr>
      <w:r w:rsidRPr="00D423F1">
        <w:t xml:space="preserve">unequal distribution of accessibility labour </w:t>
      </w:r>
    </w:p>
    <w:p w14:paraId="7C2ACD8D" w14:textId="77777777" w:rsidR="006579C9" w:rsidRPr="00D423F1" w:rsidRDefault="006579C9" w:rsidP="008E72B8">
      <w:pPr>
        <w:pStyle w:val="ListParagraph"/>
      </w:pPr>
      <w:r w:rsidRPr="00D423F1">
        <w:t xml:space="preserve">limited integration of accessibility considerations into planning processes </w:t>
      </w:r>
    </w:p>
    <w:p w14:paraId="111C9D0D" w14:textId="4E7D15B8" w:rsidR="006579C9" w:rsidRPr="00D423F1" w:rsidRDefault="006579C9" w:rsidP="001C1B86">
      <w:pPr>
        <w:pStyle w:val="BodyCopy"/>
      </w:pPr>
      <w:r w:rsidRPr="00D423F1">
        <w:t>The session reinforced the need to conceptualize accessibility as an organizational capability supported by governance structures and shared accountability mechanisms.</w:t>
      </w:r>
    </w:p>
    <w:p w14:paraId="11C1B4E5" w14:textId="77777777" w:rsidR="006579C9" w:rsidRDefault="006579C9" w:rsidP="001C1B86">
      <w:pPr>
        <w:pStyle w:val="BodyCopy"/>
      </w:pPr>
      <w:r w:rsidRPr="00D423F1">
        <w:t>Findings from this iteration informed the introduction of Organizational Accessibility and Accountability as a distinct competency domain within the revised framework.</w:t>
      </w:r>
    </w:p>
    <w:p w14:paraId="4F457F5F" w14:textId="7B74CA6A" w:rsidR="006579C9" w:rsidRPr="005A0C73" w:rsidRDefault="006579C9" w:rsidP="001C1B86">
      <w:pPr>
        <w:pStyle w:val="Heading4"/>
      </w:pPr>
      <w:r w:rsidRPr="005A0C73">
        <w:t>Data Sources</w:t>
      </w:r>
    </w:p>
    <w:p w14:paraId="3834329C" w14:textId="77777777" w:rsidR="006579C9" w:rsidRPr="005A0C73" w:rsidRDefault="006579C9" w:rsidP="001C1B86">
      <w:pPr>
        <w:pStyle w:val="BodyCopy"/>
      </w:pPr>
      <w:r w:rsidRPr="005A0C73">
        <w:t>Data sources included:</w:t>
      </w:r>
    </w:p>
    <w:p w14:paraId="45864F02" w14:textId="77777777" w:rsidR="006579C9" w:rsidRPr="005A0C73" w:rsidRDefault="006579C9" w:rsidP="008E72B8">
      <w:pPr>
        <w:pStyle w:val="ListParagraph"/>
      </w:pPr>
      <w:r w:rsidRPr="005A0C73">
        <w:t xml:space="preserve">competency inventory artefacts </w:t>
      </w:r>
    </w:p>
    <w:p w14:paraId="4C91CC61" w14:textId="77777777" w:rsidR="006579C9" w:rsidRPr="005A0C73" w:rsidRDefault="006579C9" w:rsidP="008E72B8">
      <w:pPr>
        <w:pStyle w:val="ListParagraph"/>
      </w:pPr>
      <w:r w:rsidRPr="005A0C73">
        <w:t xml:space="preserve">co-design session notes </w:t>
      </w:r>
    </w:p>
    <w:p w14:paraId="105A781D" w14:textId="77777777" w:rsidR="006579C9" w:rsidRPr="005A0C73" w:rsidRDefault="006579C9" w:rsidP="008E72B8">
      <w:pPr>
        <w:pStyle w:val="ListParagraph"/>
      </w:pPr>
      <w:r w:rsidRPr="005A0C73">
        <w:t xml:space="preserve">facilitation materials </w:t>
      </w:r>
    </w:p>
    <w:p w14:paraId="79BE9FF6" w14:textId="77777777" w:rsidR="006579C9" w:rsidRPr="005A0C73" w:rsidRDefault="006579C9" w:rsidP="008E72B8">
      <w:pPr>
        <w:pStyle w:val="ListParagraph"/>
      </w:pPr>
      <w:r w:rsidRPr="005A0C73">
        <w:t xml:space="preserve">thematic synthesis documents </w:t>
      </w:r>
    </w:p>
    <w:p w14:paraId="210B9FBF" w14:textId="77777777" w:rsidR="006579C9" w:rsidRPr="005A0C73" w:rsidRDefault="006579C9" w:rsidP="008E72B8">
      <w:pPr>
        <w:pStyle w:val="ListParagraph"/>
      </w:pPr>
      <w:r w:rsidRPr="005A0C73">
        <w:t xml:space="preserve">iterative framework drafts </w:t>
      </w:r>
    </w:p>
    <w:p w14:paraId="55FC3422" w14:textId="77777777" w:rsidR="006579C9" w:rsidRPr="005A0C73" w:rsidRDefault="006579C9" w:rsidP="008E72B8">
      <w:pPr>
        <w:pStyle w:val="ListParagraph"/>
      </w:pPr>
      <w:r w:rsidRPr="005A0C73">
        <w:t xml:space="preserve">workshop discussion outputs </w:t>
      </w:r>
    </w:p>
    <w:p w14:paraId="4768DCB6" w14:textId="77777777" w:rsidR="006579C9" w:rsidRPr="005A0C73" w:rsidRDefault="006579C9" w:rsidP="001C1B86">
      <w:pPr>
        <w:pStyle w:val="BodyCopy"/>
      </w:pPr>
      <w:r w:rsidRPr="005A0C73">
        <w:t>Artefacts were treated as qualitative data sources documenting evolving conceptualizations of accessibility competency. Each artefact contributed to the identification of patterns across iterations.</w:t>
      </w:r>
    </w:p>
    <w:p w14:paraId="1CE7FC39" w14:textId="77777777" w:rsidR="006579C9" w:rsidRPr="005A0C73" w:rsidRDefault="006579C9" w:rsidP="001C1B86">
      <w:pPr>
        <w:pStyle w:val="BodyCopy"/>
      </w:pPr>
      <w:r w:rsidRPr="005A0C73">
        <w:t xml:space="preserve">Triangulation across artefacts supported credibility by enabling comparison between independently generated observations. For example, themes </w:t>
      </w:r>
      <w:r w:rsidRPr="005A0C73">
        <w:lastRenderedPageBreak/>
        <w:t>related to born-accessible design emerged across multiple iterations, suggesting consistency in participant perspectives.</w:t>
      </w:r>
    </w:p>
    <w:p w14:paraId="0AC3E2D6" w14:textId="77777777" w:rsidR="006579C9" w:rsidRPr="005A0C73" w:rsidRDefault="006579C9" w:rsidP="001C1B86">
      <w:pPr>
        <w:pStyle w:val="BodyCopy"/>
      </w:pPr>
      <w:r w:rsidRPr="005A0C73">
        <w:t>The appendix compendium provides a structured chronological reconstruction of development artefacts to support methodological transparency.</w:t>
      </w:r>
    </w:p>
    <w:p w14:paraId="17E1F433" w14:textId="2E8BE417" w:rsidR="006579C9" w:rsidRPr="005A0C73" w:rsidRDefault="006579C9" w:rsidP="001C1B86">
      <w:pPr>
        <w:pStyle w:val="Heading4"/>
      </w:pPr>
      <w:r w:rsidRPr="005A0C73">
        <w:t>Analytical Approach</w:t>
      </w:r>
    </w:p>
    <w:p w14:paraId="526214CE" w14:textId="77777777" w:rsidR="006579C9" w:rsidRPr="005A0C73" w:rsidRDefault="006579C9" w:rsidP="001C1B86">
      <w:pPr>
        <w:pStyle w:val="BodyCopy"/>
      </w:pPr>
      <w:r w:rsidRPr="005A0C73">
        <w:t>Analysis followed a thematic synthesis approach commonly used in qualitative research. Thematic synthesis involves identifying patterns across qualitative data sources and integrating findings into conceptual categories (Thomas &amp; Harden, 2008).</w:t>
      </w:r>
    </w:p>
    <w:p w14:paraId="17C4F93B" w14:textId="77777777" w:rsidR="006579C9" w:rsidRPr="005A0C73" w:rsidRDefault="006579C9" w:rsidP="001C1B86">
      <w:pPr>
        <w:pStyle w:val="BodyCopy"/>
      </w:pPr>
      <w:r w:rsidRPr="005A0C73">
        <w:t>Researchers reviewed artefacts to identify recurring themes related to:</w:t>
      </w:r>
    </w:p>
    <w:p w14:paraId="7A9A1077" w14:textId="77777777" w:rsidR="006579C9" w:rsidRPr="005A0C73" w:rsidRDefault="006579C9" w:rsidP="008E72B8">
      <w:pPr>
        <w:pStyle w:val="ListParagraph"/>
      </w:pPr>
      <w:r w:rsidRPr="005A0C73">
        <w:t xml:space="preserve">conceptual framing of accessibility </w:t>
      </w:r>
    </w:p>
    <w:p w14:paraId="0376A2BD" w14:textId="77777777" w:rsidR="006579C9" w:rsidRPr="005A0C73" w:rsidRDefault="006579C9" w:rsidP="008E72B8">
      <w:pPr>
        <w:pStyle w:val="ListParagraph"/>
      </w:pPr>
      <w:r w:rsidRPr="005A0C73">
        <w:t xml:space="preserve">competency domain boundaries </w:t>
      </w:r>
    </w:p>
    <w:p w14:paraId="794DE9B9" w14:textId="77777777" w:rsidR="006579C9" w:rsidRPr="005A0C73" w:rsidRDefault="006579C9" w:rsidP="008E72B8">
      <w:pPr>
        <w:pStyle w:val="ListParagraph"/>
      </w:pPr>
      <w:r w:rsidRPr="005A0C73">
        <w:t xml:space="preserve">organizational capability structures </w:t>
      </w:r>
    </w:p>
    <w:p w14:paraId="3D0C5FD5" w14:textId="77777777" w:rsidR="006579C9" w:rsidRPr="005A0C73" w:rsidRDefault="006579C9" w:rsidP="008E72B8">
      <w:pPr>
        <w:pStyle w:val="ListParagraph"/>
      </w:pPr>
      <w:r w:rsidRPr="005A0C73">
        <w:t xml:space="preserve">language clarity and accessibility </w:t>
      </w:r>
    </w:p>
    <w:p w14:paraId="1EC55183" w14:textId="77777777" w:rsidR="006579C9" w:rsidRPr="005A0C73" w:rsidRDefault="006579C9" w:rsidP="008E72B8">
      <w:pPr>
        <w:pStyle w:val="ListParagraph"/>
      </w:pPr>
      <w:r w:rsidRPr="005A0C73">
        <w:t xml:space="preserve">governance and accountability mechanisms </w:t>
      </w:r>
    </w:p>
    <w:p w14:paraId="12D4CDFB" w14:textId="77777777" w:rsidR="006579C9" w:rsidRPr="005A0C73" w:rsidRDefault="006579C9" w:rsidP="001C1B86">
      <w:pPr>
        <w:pStyle w:val="BodyCopy"/>
      </w:pPr>
      <w:r w:rsidRPr="005A0C73">
        <w:t>Codes were iteratively refined through comparison across iterations. Themes that appeared consistently across artefacts were prioritized for inclusion in the redesigned framework.</w:t>
      </w:r>
    </w:p>
    <w:p w14:paraId="08EEE34A" w14:textId="77777777" w:rsidR="006579C9" w:rsidRPr="005A0C73" w:rsidRDefault="006579C9" w:rsidP="001C1B86">
      <w:pPr>
        <w:pStyle w:val="BodyCopy"/>
      </w:pPr>
      <w:r w:rsidRPr="005A0C73">
        <w:t>Examples of cross-iteration themes included:</w:t>
      </w:r>
    </w:p>
    <w:p w14:paraId="4F923DD6" w14:textId="77777777" w:rsidR="006579C9" w:rsidRPr="005A0C73" w:rsidRDefault="006579C9" w:rsidP="008E72B8">
      <w:pPr>
        <w:pStyle w:val="ListParagraph"/>
      </w:pPr>
      <w:r w:rsidRPr="005A0C73">
        <w:t xml:space="preserve">accessibility as proactive rather than reactive practice </w:t>
      </w:r>
    </w:p>
    <w:p w14:paraId="385B1E2C" w14:textId="77777777" w:rsidR="006579C9" w:rsidRPr="005A0C73" w:rsidRDefault="006579C9" w:rsidP="008E72B8">
      <w:pPr>
        <w:pStyle w:val="ListParagraph"/>
      </w:pPr>
      <w:r w:rsidRPr="005A0C73">
        <w:t xml:space="preserve">the importance of recognizing lived experience as expertise </w:t>
      </w:r>
    </w:p>
    <w:p w14:paraId="1AA15940" w14:textId="77777777" w:rsidR="006579C9" w:rsidRPr="005A0C73" w:rsidRDefault="006579C9" w:rsidP="008E72B8">
      <w:pPr>
        <w:pStyle w:val="ListParagraph"/>
      </w:pPr>
      <w:r w:rsidRPr="005A0C73">
        <w:t xml:space="preserve">need for distributed responsibility across organizational roles </w:t>
      </w:r>
    </w:p>
    <w:p w14:paraId="3AE9A8DE" w14:textId="77777777" w:rsidR="006579C9" w:rsidRPr="005A0C73" w:rsidRDefault="006579C9" w:rsidP="008E72B8">
      <w:pPr>
        <w:pStyle w:val="ListParagraph"/>
      </w:pPr>
      <w:r w:rsidRPr="005A0C73">
        <w:t xml:space="preserve">integration of accessibility within existing workflows </w:t>
      </w:r>
    </w:p>
    <w:p w14:paraId="31002477" w14:textId="77777777" w:rsidR="006579C9" w:rsidRPr="005A0C73" w:rsidRDefault="006579C9" w:rsidP="008E72B8">
      <w:pPr>
        <w:pStyle w:val="ListParagraph"/>
      </w:pPr>
      <w:r w:rsidRPr="005A0C73">
        <w:t xml:space="preserve">role of communication practices in enabling accessibility </w:t>
      </w:r>
    </w:p>
    <w:p w14:paraId="6D83BE92" w14:textId="77777777" w:rsidR="006579C9" w:rsidRDefault="006579C9" w:rsidP="001C1B86">
      <w:pPr>
        <w:pStyle w:val="BodyCopy"/>
      </w:pPr>
      <w:r w:rsidRPr="005A0C73">
        <w:lastRenderedPageBreak/>
        <w:t>Analytic synthesis also involved identifying redundancies and structural inconsistencies within earlier framework versions. This process informed domain consolidation and competency rewording.</w:t>
      </w:r>
    </w:p>
    <w:p w14:paraId="7D2A6B96" w14:textId="77777777" w:rsidR="00994626" w:rsidRDefault="006579C9" w:rsidP="00994626">
      <w:pPr>
        <w:keepNext/>
      </w:pPr>
      <w:r>
        <w:rPr>
          <w:noProof/>
        </w:rPr>
        <w:drawing>
          <wp:inline distT="0" distB="0" distL="0" distR="0" wp14:anchorId="1E54FE93" wp14:editId="3DB71808">
            <wp:extent cx="5943600" cy="3646715"/>
            <wp:effectExtent l="0" t="0" r="0" b="0"/>
            <wp:docPr id="700292114" name="Picture 1" descr="Diagram showing an iterative, co‑design accessibility process with four stages: Discovery, Definition, Development and Delivery, connected by a continuous feedback lo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0292114" name="Picture 1" descr="Diagram showing an iterative, co‑design accessibility process with four stages: Discovery, Definition, Development and Delivery, connected by a continuous feedback loop."/>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b="7967"/>
                    <a:stretch>
                      <a:fillRect/>
                    </a:stretch>
                  </pic:blipFill>
                  <pic:spPr bwMode="auto">
                    <a:xfrm>
                      <a:off x="0" y="0"/>
                      <a:ext cx="5943600" cy="3646715"/>
                    </a:xfrm>
                    <a:prstGeom prst="rect">
                      <a:avLst/>
                    </a:prstGeom>
                    <a:noFill/>
                    <a:ln>
                      <a:noFill/>
                    </a:ln>
                    <a:extLst>
                      <a:ext uri="{53640926-AAD7-44D8-BBD7-CCE9431645EC}">
                        <a14:shadowObscured xmlns:a14="http://schemas.microsoft.com/office/drawing/2010/main"/>
                      </a:ext>
                    </a:extLst>
                  </pic:spPr>
                </pic:pic>
              </a:graphicData>
            </a:graphic>
          </wp:inline>
        </w:drawing>
      </w:r>
    </w:p>
    <w:p w14:paraId="7232E2F8" w14:textId="363B12EA" w:rsidR="006579C9" w:rsidRDefault="00994626" w:rsidP="00994626">
      <w:pPr>
        <w:pStyle w:val="BodyCopy"/>
      </w:pPr>
      <w:r w:rsidRPr="00994626">
        <w:rPr>
          <w:b/>
          <w:bCs/>
        </w:rPr>
        <w:t xml:space="preserve">Figure </w:t>
      </w:r>
      <w:r w:rsidRPr="00994626">
        <w:rPr>
          <w:b/>
          <w:bCs/>
        </w:rPr>
        <w:fldChar w:fldCharType="begin"/>
      </w:r>
      <w:r w:rsidRPr="00994626">
        <w:rPr>
          <w:b/>
          <w:bCs/>
        </w:rPr>
        <w:instrText xml:space="preserve"> SEQ Figure \* ARABIC </w:instrText>
      </w:r>
      <w:r w:rsidRPr="00994626">
        <w:rPr>
          <w:b/>
          <w:bCs/>
        </w:rPr>
        <w:fldChar w:fldCharType="separate"/>
      </w:r>
      <w:r w:rsidRPr="00994626">
        <w:rPr>
          <w:b/>
          <w:bCs/>
          <w:noProof/>
        </w:rPr>
        <w:t>1</w:t>
      </w:r>
      <w:r w:rsidRPr="00994626">
        <w:rPr>
          <w:b/>
          <w:bCs/>
        </w:rPr>
        <w:fldChar w:fldCharType="end"/>
      </w:r>
      <w:r w:rsidRPr="00994626">
        <w:rPr>
          <w:b/>
          <w:bCs/>
        </w:rPr>
        <w:t xml:space="preserve">. </w:t>
      </w:r>
      <w:r>
        <w:t>Continuous Feedback Co-Design Loop</w:t>
      </w:r>
    </w:p>
    <w:p w14:paraId="253A2EB8" w14:textId="77777777" w:rsidR="006579C9" w:rsidRPr="005B59B3" w:rsidRDefault="006579C9" w:rsidP="001C1B86">
      <w:pPr>
        <w:pStyle w:val="BodyCopy"/>
      </w:pPr>
      <w:r w:rsidRPr="005B59B3">
        <w:rPr>
          <w:b/>
          <w:bCs/>
        </w:rPr>
        <w:t>Image description:</w:t>
      </w:r>
      <w:r>
        <w:t xml:space="preserve"> </w:t>
      </w:r>
      <w:r w:rsidRPr="005B59B3">
        <w:t>The image illustrates an iterative co-design process shown as a continuous feedback loop. Four connected diamond-shaped stages run from left to right: Discovery, Definition, Development and Delivery.</w:t>
      </w:r>
    </w:p>
    <w:p w14:paraId="441F0E9A" w14:textId="77777777" w:rsidR="006579C9" w:rsidRPr="005B59B3" w:rsidRDefault="006579C9" w:rsidP="001C1B86">
      <w:pPr>
        <w:pStyle w:val="BodyCopy"/>
      </w:pPr>
      <w:r w:rsidRPr="005B59B3">
        <w:t>Discovery focuses on building with lived experience. Definition emphasizes clarifying barriers and needs. Development highlights co-designing solutions. Delivery represents implementing and improving those solutions.</w:t>
      </w:r>
    </w:p>
    <w:p w14:paraId="768007E7" w14:textId="77777777" w:rsidR="006579C9" w:rsidRPr="005B59B3" w:rsidRDefault="006579C9" w:rsidP="001C1B86">
      <w:pPr>
        <w:pStyle w:val="BodyCopy"/>
      </w:pPr>
      <w:r w:rsidRPr="005B59B3">
        <w:t xml:space="preserve">Arrows above and below the stages form a loop, reinforcing that the process is ongoing. Text above the diagram reads “Continuous Feedback Loop: Learn, Iterate, Improve, Repeat.” Text below states “Design is </w:t>
      </w:r>
      <w:r w:rsidRPr="005B59B3">
        <w:lastRenderedPageBreak/>
        <w:t>iterative” and notes that teams revisit discovery to drive ongoing accessibility improvements.</w:t>
      </w:r>
    </w:p>
    <w:p w14:paraId="28BC2095" w14:textId="77777777" w:rsidR="006579C9" w:rsidRPr="005A0C73" w:rsidRDefault="006579C9" w:rsidP="001C1B86">
      <w:pPr>
        <w:pStyle w:val="BodyCopy"/>
      </w:pPr>
      <w:r w:rsidRPr="005B59B3">
        <w:t>At the bottom of the image, key principles are listed: Co-design means designing with, not for; accessibility is sociotechnical; lived experience is expertise; and the process is iterative, participatory and justice-oriented.</w:t>
      </w:r>
    </w:p>
    <w:p w14:paraId="543AAAC0" w14:textId="27DE4806" w:rsidR="006579C9" w:rsidRPr="005A0C73" w:rsidRDefault="006579C9" w:rsidP="001C1B86">
      <w:pPr>
        <w:pStyle w:val="Heading4"/>
      </w:pPr>
      <w:r w:rsidRPr="005A0C73">
        <w:t>Reflexivity</w:t>
      </w:r>
    </w:p>
    <w:p w14:paraId="69B5718C" w14:textId="77777777" w:rsidR="006579C9" w:rsidRPr="005A0C73" w:rsidRDefault="006579C9" w:rsidP="001857DD">
      <w:pPr>
        <w:pStyle w:val="BodyCopy"/>
      </w:pPr>
      <w:r w:rsidRPr="005A0C73">
        <w:t>Reflexivity refers to the process of critically examining how researcher perspectives influence interpretation of data. The research team included individuals with lived experience of disability as well as professionals with expertise in accessibility, research design,</w:t>
      </w:r>
      <w:r>
        <w:t xml:space="preserve"> human-centred design thinking,</w:t>
      </w:r>
      <w:r w:rsidRPr="005A0C73">
        <w:t xml:space="preserve"> and organizational change.</w:t>
      </w:r>
    </w:p>
    <w:p w14:paraId="70D1F3FA" w14:textId="77777777" w:rsidR="006579C9" w:rsidRPr="005A0C73" w:rsidRDefault="006579C9" w:rsidP="001857DD">
      <w:pPr>
        <w:pStyle w:val="BodyCopy"/>
      </w:pPr>
      <w:r w:rsidRPr="005A0C73">
        <w:t>Team members engaged in structured reflection to consider how their positionality influenced interpretation of participant input. For example, researchers recognized that professional familiarity with accessibility standards could lead to assumptions about baseline knowledge levels among participants.</w:t>
      </w:r>
    </w:p>
    <w:p w14:paraId="4189C225" w14:textId="77777777" w:rsidR="006579C9" w:rsidRPr="00D423F1" w:rsidRDefault="006579C9" w:rsidP="001857DD">
      <w:pPr>
        <w:pStyle w:val="BodyCopy"/>
      </w:pPr>
      <w:r w:rsidRPr="005A0C73">
        <w:t>Reflexive discussion supported efforts to maintain language descriptions accessible to non-specialist audiences. The team also considered how organizational affiliation could influence participant responses, particularly when discussing barriers within institutional processes.</w:t>
      </w:r>
    </w:p>
    <w:p w14:paraId="5CE9D6E3" w14:textId="377B2279" w:rsidR="006579C9" w:rsidRDefault="006579C9" w:rsidP="001C1B86">
      <w:pPr>
        <w:pStyle w:val="Heading4"/>
      </w:pPr>
      <w:r w:rsidRPr="009E655E">
        <w:t>Methodological Limitations</w:t>
      </w:r>
    </w:p>
    <w:p w14:paraId="11E5AD51" w14:textId="77777777" w:rsidR="006579C9" w:rsidRPr="00DE6664" w:rsidRDefault="006579C9" w:rsidP="001C1B86">
      <w:pPr>
        <w:pStyle w:val="BodyCopy"/>
      </w:pPr>
      <w:r w:rsidRPr="00DE6664">
        <w:t>Participants across iterations represented a mix of lived experience expertise, organizational roles, and interdisciplinary backgrounds. While some contributors had professional experience related to accessibility, the Iteration 2 co-design session primarily involved community members participating in the capacity of lived experience experts rather than professional accessibility practitioners.</w:t>
      </w:r>
    </w:p>
    <w:p w14:paraId="3336B0A7" w14:textId="77777777" w:rsidR="006579C9" w:rsidRPr="00DE6664" w:rsidRDefault="006579C9" w:rsidP="001C1B86">
      <w:pPr>
        <w:pStyle w:val="BodyCopy"/>
      </w:pPr>
      <w:r w:rsidRPr="00DE6664">
        <w:lastRenderedPageBreak/>
        <w:t>As a result, findings reflect perspectives grounded in experiential knowledge as well as professional practice contexts. This balance strengthens ecological validity but may not fully represent perspectives from organizations with limited prior exposure to accessibility concepts.</w:t>
      </w:r>
    </w:p>
    <w:p w14:paraId="5423C14C" w14:textId="77777777" w:rsidR="006579C9" w:rsidRPr="00DE6664" w:rsidRDefault="006579C9" w:rsidP="001C1B86">
      <w:pPr>
        <w:pStyle w:val="BodyCopy"/>
      </w:pPr>
      <w:r w:rsidRPr="00DE6664">
        <w:t>Co-design methodologies prioritize depth of engagement rather than statistical representativeness. Future research could examine how competency frameworks are interpreted by broader organizational populations unfamiliar with accessibility terminology.</w:t>
      </w:r>
    </w:p>
    <w:p w14:paraId="7ABB5726" w14:textId="77777777" w:rsidR="006579C9" w:rsidRDefault="006579C9" w:rsidP="006579C9">
      <w:pPr>
        <w:pStyle w:val="Heading2"/>
        <w:sectPr w:rsidR="006579C9" w:rsidSect="006579C9">
          <w:pgSz w:w="12240" w:h="15840"/>
          <w:pgMar w:top="1440" w:right="1440" w:bottom="1440" w:left="1440" w:header="720" w:footer="720" w:gutter="0"/>
          <w:cols w:space="720"/>
          <w:docGrid w:linePitch="360"/>
        </w:sectPr>
      </w:pPr>
    </w:p>
    <w:p w14:paraId="000B4525" w14:textId="1E6F084F" w:rsidR="006579C9" w:rsidRPr="003877F2" w:rsidRDefault="006579C9" w:rsidP="00CB40B5">
      <w:pPr>
        <w:pStyle w:val="Heading3"/>
      </w:pPr>
      <w:bookmarkStart w:id="35" w:name="_Toc243923420"/>
      <w:r w:rsidRPr="003877F2">
        <w:lastRenderedPageBreak/>
        <w:t>Key Findings from the Co-Design Process</w:t>
      </w:r>
      <w:bookmarkEnd w:id="35"/>
    </w:p>
    <w:p w14:paraId="4B684521" w14:textId="77777777" w:rsidR="006579C9" w:rsidRPr="003877F2" w:rsidRDefault="006579C9" w:rsidP="001F1B51">
      <w:pPr>
        <w:pStyle w:val="BodyCopy"/>
      </w:pPr>
      <w:r w:rsidRPr="003877F2">
        <w:t>Analysis across the three iterations revealed recurring patterns related to how accessibility is conceptualized, operationalized, and constrained within organizational environments. Findings indicate that accessibility challenges are frequently embedded within organizational systems rather than arising solely from gaps in individual knowledge or technical skill.</w:t>
      </w:r>
    </w:p>
    <w:p w14:paraId="7A30CEAA" w14:textId="77777777" w:rsidR="006579C9" w:rsidRPr="003877F2" w:rsidRDefault="006579C9" w:rsidP="001F1B51">
      <w:pPr>
        <w:pStyle w:val="BodyCopy"/>
      </w:pPr>
      <w:r w:rsidRPr="003877F2">
        <w:t>Thematic synthesis identified five cross-cutting findings that informed redesign of the competency framework:</w:t>
      </w:r>
    </w:p>
    <w:p w14:paraId="3D7548C4" w14:textId="77777777" w:rsidR="006579C9" w:rsidRPr="003877F2" w:rsidRDefault="006579C9" w:rsidP="008F4B3F">
      <w:pPr>
        <w:pStyle w:val="ListParagraph"/>
        <w:numPr>
          <w:ilvl w:val="0"/>
          <w:numId w:val="7"/>
        </w:numPr>
      </w:pPr>
      <w:r>
        <w:t>A</w:t>
      </w:r>
      <w:r w:rsidRPr="003877F2">
        <w:t xml:space="preserve">ccessibility barriers frequently emerge from organizational systems rather than individual actions </w:t>
      </w:r>
    </w:p>
    <w:p w14:paraId="57756E87" w14:textId="77777777" w:rsidR="006579C9" w:rsidRPr="003877F2" w:rsidRDefault="006579C9" w:rsidP="008F4B3F">
      <w:pPr>
        <w:pStyle w:val="ListParagraph"/>
        <w:numPr>
          <w:ilvl w:val="0"/>
          <w:numId w:val="7"/>
        </w:numPr>
      </w:pPr>
      <w:r>
        <w:t>R</w:t>
      </w:r>
      <w:r w:rsidRPr="003877F2">
        <w:t xml:space="preserve">eactive approaches to accessibility remain common despite awareness of inclusive design principles </w:t>
      </w:r>
    </w:p>
    <w:p w14:paraId="4F1E1D64" w14:textId="77777777" w:rsidR="006579C9" w:rsidRPr="003877F2" w:rsidRDefault="006579C9" w:rsidP="008F4B3F">
      <w:pPr>
        <w:pStyle w:val="ListParagraph"/>
        <w:numPr>
          <w:ilvl w:val="0"/>
          <w:numId w:val="7"/>
        </w:numPr>
      </w:pPr>
      <w:r>
        <w:t>A</w:t>
      </w:r>
      <w:r w:rsidRPr="003877F2">
        <w:t xml:space="preserve">ccessibility labour is unevenly distributed and often informally assigned </w:t>
      </w:r>
    </w:p>
    <w:p w14:paraId="515A51D4" w14:textId="77777777" w:rsidR="006579C9" w:rsidRPr="003877F2" w:rsidRDefault="006579C9" w:rsidP="008F4B3F">
      <w:pPr>
        <w:pStyle w:val="ListParagraph"/>
        <w:numPr>
          <w:ilvl w:val="0"/>
          <w:numId w:val="7"/>
        </w:numPr>
      </w:pPr>
      <w:r>
        <w:t>C</w:t>
      </w:r>
      <w:r w:rsidRPr="003877F2">
        <w:t xml:space="preserve">ommunication practices significantly influence accessibility outcomes </w:t>
      </w:r>
    </w:p>
    <w:p w14:paraId="11021D51" w14:textId="77777777" w:rsidR="006579C9" w:rsidRPr="003877F2" w:rsidRDefault="006579C9" w:rsidP="008F4B3F">
      <w:pPr>
        <w:pStyle w:val="ListParagraph"/>
        <w:numPr>
          <w:ilvl w:val="0"/>
          <w:numId w:val="7"/>
        </w:numPr>
      </w:pPr>
      <w:r>
        <w:t>O</w:t>
      </w:r>
      <w:r w:rsidRPr="003877F2">
        <w:t xml:space="preserve">rganizational accountability structures shape accessibility maturity </w:t>
      </w:r>
    </w:p>
    <w:p w14:paraId="192B641A" w14:textId="77777777" w:rsidR="006579C9" w:rsidRPr="003877F2" w:rsidRDefault="006579C9" w:rsidP="001F1B51">
      <w:pPr>
        <w:pStyle w:val="BodyCopy"/>
      </w:pPr>
      <w:r w:rsidRPr="003877F2">
        <w:t>These findings are consistent with sociotechnical perspectives emphasizing that organizational outcomes are shaped through interaction between social practices, institutional norms, and technological infrastructures (Baxter &amp; Sommerville, 2011).</w:t>
      </w:r>
    </w:p>
    <w:p w14:paraId="30ABEB59" w14:textId="77777777" w:rsidR="006579C9" w:rsidRPr="003877F2" w:rsidRDefault="006579C9" w:rsidP="001F1B51">
      <w:pPr>
        <w:pStyle w:val="BodyCopy"/>
      </w:pPr>
      <w:r w:rsidRPr="003877F2">
        <w:t>Each theme is discussed below.</w:t>
      </w:r>
    </w:p>
    <w:p w14:paraId="4E708E1F" w14:textId="1944EF4C" w:rsidR="006579C9" w:rsidRPr="003877F2" w:rsidRDefault="006579C9" w:rsidP="001F1B51">
      <w:pPr>
        <w:pStyle w:val="Heading4"/>
      </w:pPr>
      <w:r w:rsidRPr="003877F2">
        <w:t>Systems as Accessibility Barriers</w:t>
      </w:r>
    </w:p>
    <w:p w14:paraId="4F091E77" w14:textId="77777777" w:rsidR="006579C9" w:rsidRPr="003877F2" w:rsidRDefault="006579C9" w:rsidP="001F1B51">
      <w:pPr>
        <w:pStyle w:val="BodyCopy"/>
      </w:pPr>
      <w:r w:rsidRPr="003877F2">
        <w:t xml:space="preserve">Across Iterations 2 and 3, co-design participants consistently identified organizational systems as primary sources of accessibility barriers. Participants described challenges interacting with enterprise software </w:t>
      </w:r>
      <w:r w:rsidRPr="003877F2">
        <w:lastRenderedPageBreak/>
        <w:t>platforms, internal knowledge systems, and procedural workflows that did not incorporate accessibility considerations.</w:t>
      </w:r>
    </w:p>
    <w:p w14:paraId="2BE2A7F4" w14:textId="77777777" w:rsidR="006579C9" w:rsidRPr="003877F2" w:rsidRDefault="006579C9" w:rsidP="001F1B51">
      <w:pPr>
        <w:pStyle w:val="BodyCopy"/>
      </w:pPr>
      <w:r w:rsidRPr="003877F2">
        <w:t>Examples included:</w:t>
      </w:r>
    </w:p>
    <w:p w14:paraId="3152049F" w14:textId="77777777" w:rsidR="006579C9" w:rsidRPr="003877F2" w:rsidRDefault="006579C9" w:rsidP="008E72B8">
      <w:pPr>
        <w:pStyle w:val="ListParagraph"/>
      </w:pPr>
      <w:r w:rsidRPr="003877F2">
        <w:t xml:space="preserve">inaccessible procurement </w:t>
      </w:r>
      <w:r>
        <w:t>processes</w:t>
      </w:r>
      <w:r w:rsidRPr="003877F2">
        <w:t xml:space="preserve"> </w:t>
      </w:r>
    </w:p>
    <w:p w14:paraId="32881E74" w14:textId="77777777" w:rsidR="006579C9" w:rsidRDefault="006579C9" w:rsidP="008E72B8">
      <w:pPr>
        <w:pStyle w:val="ListParagraph"/>
      </w:pPr>
      <w:r w:rsidRPr="003877F2">
        <w:t>lack of clarity regarding escalation pathways when barriers are encountered</w:t>
      </w:r>
      <w:r>
        <w:t>, both internally and with external partners and vendors</w:t>
      </w:r>
    </w:p>
    <w:p w14:paraId="2B05280D" w14:textId="77777777" w:rsidR="006579C9" w:rsidRPr="003877F2" w:rsidRDefault="006579C9" w:rsidP="008E72B8">
      <w:pPr>
        <w:pStyle w:val="ListParagraph"/>
      </w:pPr>
      <w:r w:rsidRPr="003877F2">
        <w:t xml:space="preserve">fragmented accessibility documentation </w:t>
      </w:r>
    </w:p>
    <w:p w14:paraId="7FDE4160" w14:textId="77777777" w:rsidR="006579C9" w:rsidRPr="003877F2" w:rsidRDefault="006579C9" w:rsidP="001F1B51">
      <w:pPr>
        <w:pStyle w:val="BodyCopy"/>
      </w:pPr>
      <w:r w:rsidRPr="003877F2">
        <w:t>Participants emphasized that these barriers often persist because accessibility considerations are not integrated into early stages of decision-making processes.</w:t>
      </w:r>
    </w:p>
    <w:p w14:paraId="0C7F0B18" w14:textId="77777777" w:rsidR="006579C9" w:rsidRPr="003877F2" w:rsidRDefault="006579C9" w:rsidP="001F1B51">
      <w:pPr>
        <w:pStyle w:val="BodyCopy"/>
      </w:pPr>
      <w:r w:rsidRPr="003877F2">
        <w:t>This finding reinforces the importance of conceptualizing accessibility as a sociotechnical capability involving coordination between technical implementation, policy development, and organizational governance.</w:t>
      </w:r>
    </w:p>
    <w:p w14:paraId="00D95E15" w14:textId="77777777" w:rsidR="006579C9" w:rsidRPr="003877F2" w:rsidRDefault="006579C9" w:rsidP="001F1B51">
      <w:pPr>
        <w:pStyle w:val="BodyCopy"/>
      </w:pPr>
      <w:r w:rsidRPr="003877F2">
        <w:t>Participants also noted that inaccessible internal systems may produce secondary barriers, such as increased reliance on informal workarounds or additional labour for individuals with disabilities.</w:t>
      </w:r>
    </w:p>
    <w:p w14:paraId="2DFAEE3F" w14:textId="6DCF4D67" w:rsidR="006579C9" w:rsidRPr="003877F2" w:rsidRDefault="006579C9" w:rsidP="001F1B51">
      <w:pPr>
        <w:pStyle w:val="Heading4"/>
      </w:pPr>
      <w:r w:rsidRPr="003877F2">
        <w:t>Afterthought versus Born-Accessible Practice</w:t>
      </w:r>
    </w:p>
    <w:p w14:paraId="0E92BD95" w14:textId="77777777" w:rsidR="006579C9" w:rsidRPr="003877F2" w:rsidRDefault="006579C9" w:rsidP="001F1B51">
      <w:pPr>
        <w:pStyle w:val="BodyCopy"/>
      </w:pPr>
      <w:r w:rsidRPr="003877F2">
        <w:t>A recurring theme across co-design iterations was the distinction between retroactive remediation and proactive design practices.</w:t>
      </w:r>
    </w:p>
    <w:p w14:paraId="2E7FC22D" w14:textId="77777777" w:rsidR="006579C9" w:rsidRPr="003877F2" w:rsidRDefault="006579C9" w:rsidP="001F1B51">
      <w:pPr>
        <w:pStyle w:val="BodyCopy"/>
      </w:pPr>
      <w:r w:rsidRPr="003877F2">
        <w:t>Participants frequently described experiences in which accessibility considerations were introduced only after barriers had already been identified. This pattern was characterized as inefficient and often more resource-intensive than incorporating accessibility considerations earlier in project lifecycles.</w:t>
      </w:r>
    </w:p>
    <w:p w14:paraId="76490DA7" w14:textId="77777777" w:rsidR="006579C9" w:rsidRPr="003877F2" w:rsidRDefault="006579C9" w:rsidP="001F1B51">
      <w:pPr>
        <w:pStyle w:val="BodyCopy"/>
      </w:pPr>
      <w:r w:rsidRPr="003877F2">
        <w:lastRenderedPageBreak/>
        <w:t>Co-design discussions emphasized the importance of designing processes, products, and environments to be usable from the outset rather than requiring adaptation after implementation.</w:t>
      </w:r>
    </w:p>
    <w:p w14:paraId="6B9DA4EE" w14:textId="77777777" w:rsidR="006579C9" w:rsidRPr="003877F2" w:rsidRDefault="006579C9" w:rsidP="001F1B51">
      <w:pPr>
        <w:pStyle w:val="BodyCopy"/>
      </w:pPr>
      <w:r w:rsidRPr="003877F2">
        <w:t>Participants described born-accessible practice as:</w:t>
      </w:r>
    </w:p>
    <w:p w14:paraId="19CD3E37" w14:textId="77777777" w:rsidR="006579C9" w:rsidRPr="003877F2" w:rsidRDefault="006579C9" w:rsidP="008E72B8">
      <w:pPr>
        <w:pStyle w:val="ListParagraph"/>
      </w:pPr>
      <w:r w:rsidRPr="003877F2">
        <w:t xml:space="preserve">integrating accessibility criteria into planning documents </w:t>
      </w:r>
    </w:p>
    <w:p w14:paraId="71D89247" w14:textId="77777777" w:rsidR="006579C9" w:rsidRPr="003877F2" w:rsidRDefault="006579C9" w:rsidP="008E72B8">
      <w:pPr>
        <w:pStyle w:val="ListParagraph"/>
      </w:pPr>
      <w:r w:rsidRPr="003877F2">
        <w:t xml:space="preserve">incorporating accessibility evaluation into project milestones </w:t>
      </w:r>
    </w:p>
    <w:p w14:paraId="1C70A6E1" w14:textId="77777777" w:rsidR="006579C9" w:rsidRPr="003877F2" w:rsidRDefault="006579C9" w:rsidP="008E72B8">
      <w:pPr>
        <w:pStyle w:val="ListParagraph"/>
      </w:pPr>
      <w:r w:rsidRPr="003877F2">
        <w:t xml:space="preserve">considering diverse user needs during early design phases </w:t>
      </w:r>
    </w:p>
    <w:p w14:paraId="28BECD99" w14:textId="77777777" w:rsidR="006579C9" w:rsidRPr="003877F2" w:rsidRDefault="006579C9" w:rsidP="001F1B51">
      <w:pPr>
        <w:pStyle w:val="BodyCopy"/>
      </w:pPr>
      <w:r w:rsidRPr="003877F2">
        <w:t>These findings informed the decision to position Born-Accessible Design as a core competency domain rather than as a specialized technical skill.</w:t>
      </w:r>
    </w:p>
    <w:p w14:paraId="3AE2217A" w14:textId="77777777" w:rsidR="006579C9" w:rsidRPr="003877F2" w:rsidRDefault="006579C9" w:rsidP="001F1B51">
      <w:pPr>
        <w:pStyle w:val="BodyCopy"/>
      </w:pPr>
      <w:r w:rsidRPr="003877F2">
        <w:t>Participants emphasized that proactive design approaches reduce the need for reactive accommodation processes and support more consistent user experiences across organizational environments.</w:t>
      </w:r>
    </w:p>
    <w:p w14:paraId="102B1652" w14:textId="1B4D3169" w:rsidR="006579C9" w:rsidRPr="003877F2" w:rsidRDefault="006579C9" w:rsidP="001F1B51">
      <w:pPr>
        <w:pStyle w:val="Heading4"/>
      </w:pPr>
      <w:r w:rsidRPr="003877F2">
        <w:t>Distribution of Accessibility Labour</w:t>
      </w:r>
    </w:p>
    <w:p w14:paraId="600408D3" w14:textId="77777777" w:rsidR="006579C9" w:rsidRPr="003877F2" w:rsidRDefault="006579C9" w:rsidP="001F1B51">
      <w:pPr>
        <w:pStyle w:val="BodyCopy"/>
      </w:pPr>
      <w:r w:rsidRPr="003877F2">
        <w:t>Participants across iterations identified concerns related to uneven distribution of accessibility-related responsibilities.</w:t>
      </w:r>
    </w:p>
    <w:p w14:paraId="15D379F8" w14:textId="77777777" w:rsidR="006579C9" w:rsidRPr="003877F2" w:rsidRDefault="006579C9" w:rsidP="001F1B51">
      <w:pPr>
        <w:pStyle w:val="BodyCopy"/>
      </w:pPr>
      <w:r w:rsidRPr="003877F2">
        <w:t>Individuals with lived experience of disability described situations in which they were informally expected to provide accessibility guidance without formal recognition of this contribution as professional labour.</w:t>
      </w:r>
    </w:p>
    <w:p w14:paraId="6CFAE779" w14:textId="77777777" w:rsidR="006579C9" w:rsidRPr="003877F2" w:rsidRDefault="006579C9" w:rsidP="001F1B51">
      <w:pPr>
        <w:pStyle w:val="BodyCopy"/>
      </w:pPr>
      <w:r w:rsidRPr="003877F2">
        <w:t>Participants noted that accessibility work is often performed in addition to primary job responsibilities, particularly when formal governance structures are absent.</w:t>
      </w:r>
    </w:p>
    <w:p w14:paraId="708EF8A0" w14:textId="77777777" w:rsidR="006579C9" w:rsidRPr="003877F2" w:rsidRDefault="006579C9" w:rsidP="001F1B51">
      <w:pPr>
        <w:pStyle w:val="BodyCopy"/>
      </w:pPr>
      <w:r w:rsidRPr="003877F2">
        <w:t>This dynamic may contribute to:</w:t>
      </w:r>
    </w:p>
    <w:p w14:paraId="37E51314" w14:textId="77777777" w:rsidR="006579C9" w:rsidRPr="003877F2" w:rsidRDefault="006579C9" w:rsidP="008E72B8">
      <w:pPr>
        <w:pStyle w:val="ListParagraph"/>
      </w:pPr>
      <w:r w:rsidRPr="003877F2">
        <w:t xml:space="preserve">burnout among individuals frequently consulted on accessibility issues </w:t>
      </w:r>
    </w:p>
    <w:p w14:paraId="6A19B0F8" w14:textId="77777777" w:rsidR="006579C9" w:rsidRPr="003877F2" w:rsidRDefault="006579C9" w:rsidP="008E72B8">
      <w:pPr>
        <w:pStyle w:val="ListParagraph"/>
      </w:pPr>
      <w:r w:rsidRPr="003877F2">
        <w:t xml:space="preserve">inconsistent application of accessibility standards </w:t>
      </w:r>
    </w:p>
    <w:p w14:paraId="76A6F79A" w14:textId="77777777" w:rsidR="006579C9" w:rsidRPr="003877F2" w:rsidRDefault="006579C9" w:rsidP="008E72B8">
      <w:pPr>
        <w:pStyle w:val="ListParagraph"/>
      </w:pPr>
      <w:r w:rsidRPr="003877F2">
        <w:lastRenderedPageBreak/>
        <w:t xml:space="preserve">reliance on informal networks rather than institutional processes </w:t>
      </w:r>
    </w:p>
    <w:p w14:paraId="7E75C328" w14:textId="77777777" w:rsidR="006579C9" w:rsidRPr="003877F2" w:rsidRDefault="006579C9" w:rsidP="001F1B51">
      <w:pPr>
        <w:pStyle w:val="BodyCopy"/>
      </w:pPr>
      <w:r w:rsidRPr="003877F2">
        <w:t>Co-design participants emphasized the importance of recognizing accessibility expertise as professional labour requiring appropriate resourcing and accountability structures.</w:t>
      </w:r>
    </w:p>
    <w:p w14:paraId="06CCCB3F" w14:textId="77777777" w:rsidR="006579C9" w:rsidRPr="003877F2" w:rsidRDefault="006579C9" w:rsidP="001F1B51">
      <w:pPr>
        <w:pStyle w:val="BodyCopy"/>
      </w:pPr>
      <w:r w:rsidRPr="003877F2">
        <w:t>These findings informed the inclusion of competencies related to organizational accountability and governance.</w:t>
      </w:r>
    </w:p>
    <w:p w14:paraId="799DF125" w14:textId="4451FE8A" w:rsidR="006579C9" w:rsidRPr="003877F2" w:rsidRDefault="006579C9" w:rsidP="001F1B51">
      <w:pPr>
        <w:pStyle w:val="Heading4"/>
      </w:pPr>
      <w:r w:rsidRPr="003877F2">
        <w:t>Communication Practices as Accessibility Infrastructure</w:t>
      </w:r>
    </w:p>
    <w:p w14:paraId="3B3920A9" w14:textId="77777777" w:rsidR="006579C9" w:rsidRPr="003877F2" w:rsidRDefault="006579C9" w:rsidP="001F1B51">
      <w:pPr>
        <w:pStyle w:val="BodyCopy"/>
      </w:pPr>
      <w:r w:rsidRPr="003877F2">
        <w:t>Communication practices were identified as a foundational component of accessibility implementation.</w:t>
      </w:r>
    </w:p>
    <w:p w14:paraId="19A6D5EE" w14:textId="77777777" w:rsidR="006579C9" w:rsidRPr="003877F2" w:rsidRDefault="006579C9" w:rsidP="001F1B51">
      <w:pPr>
        <w:pStyle w:val="BodyCopy"/>
      </w:pPr>
      <w:r w:rsidRPr="003877F2">
        <w:t>Participants described challenges related to:</w:t>
      </w:r>
    </w:p>
    <w:p w14:paraId="3069B978" w14:textId="77777777" w:rsidR="006579C9" w:rsidRDefault="006579C9" w:rsidP="008E72B8">
      <w:pPr>
        <w:pStyle w:val="ListParagraph"/>
      </w:pPr>
      <w:r w:rsidRPr="003877F2">
        <w:t>inconsistent use of plain language</w:t>
      </w:r>
    </w:p>
    <w:p w14:paraId="62FCF84C" w14:textId="77777777" w:rsidR="006579C9" w:rsidRPr="003877F2" w:rsidRDefault="006579C9" w:rsidP="008E72B8">
      <w:pPr>
        <w:pStyle w:val="ListParagraph"/>
      </w:pPr>
      <w:r>
        <w:t>inconsistent use of ASL interpretation</w:t>
      </w:r>
    </w:p>
    <w:p w14:paraId="1DCE754C" w14:textId="77777777" w:rsidR="006579C9" w:rsidRPr="003877F2" w:rsidRDefault="006579C9" w:rsidP="008E72B8">
      <w:pPr>
        <w:pStyle w:val="ListParagraph"/>
      </w:pPr>
      <w:r w:rsidRPr="003877F2">
        <w:t>lack of alternative formats for key information</w:t>
      </w:r>
    </w:p>
    <w:p w14:paraId="1476977D" w14:textId="77777777" w:rsidR="006579C9" w:rsidRDefault="006579C9" w:rsidP="008E72B8">
      <w:pPr>
        <w:pStyle w:val="ListParagraph"/>
      </w:pPr>
      <w:r w:rsidRPr="003877F2">
        <w:t xml:space="preserve">meeting practices that did not support </w:t>
      </w:r>
      <w:r>
        <w:t>accessibility in communications</w:t>
      </w:r>
    </w:p>
    <w:p w14:paraId="249E56B3" w14:textId="77777777" w:rsidR="006579C9" w:rsidRPr="003877F2" w:rsidRDefault="006579C9" w:rsidP="008E72B8">
      <w:pPr>
        <w:pStyle w:val="ListParagraph"/>
      </w:pPr>
      <w:r w:rsidRPr="003877F2">
        <w:t>fragmented accessibility documentation</w:t>
      </w:r>
    </w:p>
    <w:p w14:paraId="6970E505" w14:textId="77777777" w:rsidR="006579C9" w:rsidRPr="003877F2" w:rsidRDefault="006579C9" w:rsidP="001F1B51">
      <w:pPr>
        <w:pStyle w:val="BodyCopy"/>
      </w:pPr>
      <w:r w:rsidRPr="003877F2">
        <w:t xml:space="preserve">Participants emphasized that communication accessibility influences </w:t>
      </w:r>
      <w:r>
        <w:t xml:space="preserve">everyday engagement, </w:t>
      </w:r>
      <w:r w:rsidRPr="003877F2">
        <w:t>participation in decision-making processes</w:t>
      </w:r>
      <w:r>
        <w:t>,</w:t>
      </w:r>
      <w:r w:rsidRPr="003877F2">
        <w:t xml:space="preserve"> and access to institutional knowledge.</w:t>
      </w:r>
    </w:p>
    <w:p w14:paraId="2B0EE269" w14:textId="77777777" w:rsidR="006579C9" w:rsidRPr="003877F2" w:rsidRDefault="006579C9" w:rsidP="001F1B51">
      <w:pPr>
        <w:pStyle w:val="BodyCopy"/>
      </w:pPr>
      <w:r w:rsidRPr="003877F2">
        <w:t>Accessible communication practices were described as enabling broader participation across organizational contexts.</w:t>
      </w:r>
    </w:p>
    <w:p w14:paraId="751097B4" w14:textId="77777777" w:rsidR="006579C9" w:rsidRPr="003877F2" w:rsidRDefault="006579C9" w:rsidP="001F1B51">
      <w:pPr>
        <w:pStyle w:val="BodyCopy"/>
      </w:pPr>
      <w:r w:rsidRPr="003877F2">
        <w:t>These findings informed the inclusion of Inclusive Communication and Engagement as a core competency domain.</w:t>
      </w:r>
    </w:p>
    <w:p w14:paraId="1898D21F" w14:textId="0B1E54D2" w:rsidR="006579C9" w:rsidRPr="003877F2" w:rsidRDefault="006579C9" w:rsidP="001F1B51">
      <w:pPr>
        <w:pStyle w:val="Heading4"/>
      </w:pPr>
      <w:r w:rsidRPr="003877F2">
        <w:lastRenderedPageBreak/>
        <w:t>Organizational Accountability as Enabling Condition</w:t>
      </w:r>
    </w:p>
    <w:p w14:paraId="39C1C14F" w14:textId="77777777" w:rsidR="006579C9" w:rsidRPr="003877F2" w:rsidRDefault="006579C9" w:rsidP="001F1B51">
      <w:pPr>
        <w:pStyle w:val="BodyCopy"/>
      </w:pPr>
      <w:r w:rsidRPr="003877F2">
        <w:t>Participants across Iteration 3 emphasized the importance of clear accountability structures for accessibility implementation.</w:t>
      </w:r>
    </w:p>
    <w:p w14:paraId="5921C991" w14:textId="77777777" w:rsidR="006579C9" w:rsidRPr="003877F2" w:rsidRDefault="006579C9" w:rsidP="001F1B51">
      <w:pPr>
        <w:pStyle w:val="BodyCopy"/>
      </w:pPr>
      <w:r w:rsidRPr="003877F2">
        <w:t>Participants noted that accessibility initiatives are often dependent on individual motivation rather than supported through formal performance expectations or organizational incentives.</w:t>
      </w:r>
    </w:p>
    <w:p w14:paraId="003E9FAA" w14:textId="77777777" w:rsidR="006579C9" w:rsidRPr="003877F2" w:rsidRDefault="006579C9" w:rsidP="001F1B51">
      <w:pPr>
        <w:pStyle w:val="BodyCopy"/>
      </w:pPr>
      <w:r w:rsidRPr="003877F2">
        <w:t>Examples of structural gaps included:</w:t>
      </w:r>
    </w:p>
    <w:p w14:paraId="7D7FE404" w14:textId="77777777" w:rsidR="006579C9" w:rsidRPr="003877F2" w:rsidRDefault="006579C9" w:rsidP="008E72B8">
      <w:pPr>
        <w:pStyle w:val="ListParagraph"/>
      </w:pPr>
      <w:r w:rsidRPr="003877F2">
        <w:t xml:space="preserve">absence of accessibility metrics in performance evaluation frameworks </w:t>
      </w:r>
    </w:p>
    <w:p w14:paraId="2E5B748D" w14:textId="77777777" w:rsidR="006579C9" w:rsidRPr="003877F2" w:rsidRDefault="006579C9" w:rsidP="008E72B8">
      <w:pPr>
        <w:pStyle w:val="ListParagraph"/>
      </w:pPr>
      <w:r w:rsidRPr="003877F2">
        <w:t>limited integration of accessibility considerations in procurement criteria</w:t>
      </w:r>
    </w:p>
    <w:p w14:paraId="05931A45" w14:textId="77777777" w:rsidR="006579C9" w:rsidRPr="003877F2" w:rsidRDefault="006579C9" w:rsidP="001F1B51">
      <w:pPr>
        <w:pStyle w:val="BodyCopy"/>
      </w:pPr>
      <w:r w:rsidRPr="003877F2">
        <w:t>Participants emphasized that sustainable accessibility outcomes require alignment between competency development and institutional accountability mechanisms.</w:t>
      </w:r>
    </w:p>
    <w:p w14:paraId="776382C2" w14:textId="77777777" w:rsidR="006579C9" w:rsidRPr="003877F2" w:rsidRDefault="006579C9" w:rsidP="001F1B51">
      <w:pPr>
        <w:pStyle w:val="BodyCopy"/>
      </w:pPr>
      <w:r w:rsidRPr="003877F2">
        <w:t>These insights informed the inclusion of Organizational Accessibility and Accountability as a domain addressing governance structures supporting accessibility maturity</w:t>
      </w:r>
      <w:r>
        <w:t>.</w:t>
      </w:r>
    </w:p>
    <w:p w14:paraId="3F9C476F" w14:textId="77777777" w:rsidR="006579C9" w:rsidRDefault="006579C9" w:rsidP="006579C9">
      <w:pPr>
        <w:pStyle w:val="Heading2"/>
        <w:sectPr w:rsidR="006579C9" w:rsidSect="006579C9">
          <w:pgSz w:w="12240" w:h="15840"/>
          <w:pgMar w:top="1440" w:right="1440" w:bottom="1440" w:left="1440" w:header="720" w:footer="720" w:gutter="0"/>
          <w:cols w:space="720"/>
          <w:docGrid w:linePitch="360"/>
        </w:sectPr>
      </w:pPr>
    </w:p>
    <w:p w14:paraId="696D4A02" w14:textId="04E577ED" w:rsidR="006579C9" w:rsidRPr="0084274D" w:rsidRDefault="006579C9" w:rsidP="00CB40B5">
      <w:pPr>
        <w:pStyle w:val="Heading3"/>
      </w:pPr>
      <w:bookmarkStart w:id="36" w:name="_Toc243923421"/>
      <w:r w:rsidRPr="0084274D">
        <w:lastRenderedPageBreak/>
        <w:t>Analysis of the Pre-Redesign Framework</w:t>
      </w:r>
      <w:bookmarkEnd w:id="36"/>
    </w:p>
    <w:p w14:paraId="20BD2304" w14:textId="77777777" w:rsidR="006579C9" w:rsidRPr="0084274D" w:rsidRDefault="006579C9" w:rsidP="001F1B51">
      <w:pPr>
        <w:pStyle w:val="BodyCopy"/>
      </w:pPr>
      <w:r w:rsidRPr="0084274D">
        <w:t>Analysis of the pre-redesign framework focused on identifying structural strengths, redundancies, and conceptual inconsistencies that could affect interpretability and implementation across organizational contexts. Artefacts reviewed included the 2023 competency inventory spreadsheet, the Iteration 2 co-design workshop materials, and the Version 2 framework draft prepared for Iteration 3.</w:t>
      </w:r>
    </w:p>
    <w:p w14:paraId="12F526B3" w14:textId="77777777" w:rsidR="006579C9" w:rsidRPr="0084274D" w:rsidRDefault="006579C9" w:rsidP="001F1B51">
      <w:pPr>
        <w:pStyle w:val="BodyCopy"/>
      </w:pPr>
      <w:r w:rsidRPr="0084274D">
        <w:t>The pre-redesign framework demonstrated substantial conceptual maturity, particularly in its integration of disability models, inclusive communication practices, digital accessibility standards, and inclusive design principles. However, analysis identified opportunities to improve structural clarity, consistency of progression logic, and alignment between competency language and organizational implementation requirements.</w:t>
      </w:r>
    </w:p>
    <w:p w14:paraId="61DA5720" w14:textId="77777777" w:rsidR="006579C9" w:rsidRPr="0084274D" w:rsidRDefault="006579C9" w:rsidP="001F1B51">
      <w:pPr>
        <w:pStyle w:val="BodyCopy"/>
      </w:pPr>
      <w:r w:rsidRPr="0084274D">
        <w:t>Four major areas of refinement were identified:</w:t>
      </w:r>
    </w:p>
    <w:p w14:paraId="104D4603" w14:textId="77777777" w:rsidR="006579C9" w:rsidRPr="0084274D" w:rsidRDefault="006579C9" w:rsidP="008F4B3F">
      <w:pPr>
        <w:pStyle w:val="ListParagraph"/>
        <w:numPr>
          <w:ilvl w:val="0"/>
          <w:numId w:val="8"/>
        </w:numPr>
      </w:pPr>
      <w:r>
        <w:t>D</w:t>
      </w:r>
      <w:r w:rsidRPr="0084274D">
        <w:t>omain consolidation and boundary clarification</w:t>
      </w:r>
    </w:p>
    <w:p w14:paraId="7F839D54" w14:textId="77777777" w:rsidR="006579C9" w:rsidRPr="0084274D" w:rsidRDefault="006579C9" w:rsidP="008F4B3F">
      <w:pPr>
        <w:pStyle w:val="ListParagraph"/>
        <w:numPr>
          <w:ilvl w:val="0"/>
          <w:numId w:val="8"/>
        </w:numPr>
      </w:pPr>
      <w:r>
        <w:t>C</w:t>
      </w:r>
      <w:r w:rsidRPr="0084274D">
        <w:t>onsistency of competency progression logic</w:t>
      </w:r>
    </w:p>
    <w:p w14:paraId="7737A137" w14:textId="77777777" w:rsidR="006579C9" w:rsidRPr="0084274D" w:rsidRDefault="006579C9" w:rsidP="008F4B3F">
      <w:pPr>
        <w:pStyle w:val="ListParagraph"/>
        <w:numPr>
          <w:ilvl w:val="0"/>
          <w:numId w:val="8"/>
        </w:numPr>
      </w:pPr>
      <w:r>
        <w:t>B</w:t>
      </w:r>
      <w:r w:rsidRPr="0084274D">
        <w:t>alance between technical specificity and conceptual accessibility</w:t>
      </w:r>
    </w:p>
    <w:p w14:paraId="2C30A501" w14:textId="77777777" w:rsidR="006579C9" w:rsidRPr="0084274D" w:rsidRDefault="006579C9" w:rsidP="008F4B3F">
      <w:pPr>
        <w:pStyle w:val="ListParagraph"/>
        <w:numPr>
          <w:ilvl w:val="0"/>
          <w:numId w:val="8"/>
        </w:numPr>
      </w:pPr>
      <w:r>
        <w:t>I</w:t>
      </w:r>
      <w:r w:rsidRPr="0084274D">
        <w:t>ntegration of organizational governance competencies</w:t>
      </w:r>
    </w:p>
    <w:p w14:paraId="6136F21A" w14:textId="77777777" w:rsidR="006579C9" w:rsidRPr="0084274D" w:rsidRDefault="006579C9" w:rsidP="001F1B51">
      <w:pPr>
        <w:pStyle w:val="BodyCopy"/>
      </w:pPr>
      <w:r w:rsidRPr="0084274D">
        <w:t>Each area is discussed below.</w:t>
      </w:r>
    </w:p>
    <w:p w14:paraId="13F2A803" w14:textId="28780CD9" w:rsidR="006579C9" w:rsidRPr="0084274D" w:rsidRDefault="006579C9" w:rsidP="001F1B51">
      <w:pPr>
        <w:pStyle w:val="Heading4"/>
      </w:pPr>
      <w:r w:rsidRPr="0084274D">
        <w:t>Domain Overlap and Structural Duplication</w:t>
      </w:r>
    </w:p>
    <w:p w14:paraId="5F244963" w14:textId="77777777" w:rsidR="006579C9" w:rsidRPr="0084274D" w:rsidRDefault="006579C9" w:rsidP="001F1B51">
      <w:pPr>
        <w:pStyle w:val="BodyCopy"/>
      </w:pPr>
      <w:r w:rsidRPr="0084274D">
        <w:t>Early competency artefacts reflected the practical orientation of Iteration 1, in which accessibility topics were organized according to recognizable workplace activities such as accessible documents, accessible meetings, and accessible presentations.</w:t>
      </w:r>
    </w:p>
    <w:p w14:paraId="0E20540D" w14:textId="77777777" w:rsidR="006579C9" w:rsidRPr="0084274D" w:rsidRDefault="006579C9" w:rsidP="001F1B51">
      <w:pPr>
        <w:pStyle w:val="BodyCopy"/>
      </w:pPr>
      <w:r w:rsidRPr="0084274D">
        <w:t xml:space="preserve">While this structure supported initial topic identification, analysis revealed substantial conceptual overlap between domains. For example, </w:t>
      </w:r>
      <w:r w:rsidRPr="0084274D">
        <w:lastRenderedPageBreak/>
        <w:t>competencies related to accessible meetings and accessible presentations frequently addressed similar practices, including preparation of accessible materials, provision of alternative formats, and inclusive facilitation techniques.</w:t>
      </w:r>
    </w:p>
    <w:p w14:paraId="09453E95" w14:textId="77777777" w:rsidR="006579C9" w:rsidRPr="0084274D" w:rsidRDefault="006579C9" w:rsidP="001F1B51">
      <w:pPr>
        <w:pStyle w:val="BodyCopy"/>
      </w:pPr>
      <w:r w:rsidRPr="0084274D">
        <w:t>Duplication across domains created potential ambiguity regarding how competencies should be interpreted across roles. For example, competencies related to communication accessibility appeared in multiple locations, including communication etiquette, document accessibility, and presentation practices.</w:t>
      </w:r>
    </w:p>
    <w:p w14:paraId="407E9506" w14:textId="77777777" w:rsidR="006579C9" w:rsidRPr="0084274D" w:rsidRDefault="006579C9" w:rsidP="001F1B51">
      <w:pPr>
        <w:pStyle w:val="BodyCopy"/>
      </w:pPr>
      <w:r w:rsidRPr="0084274D">
        <w:t>Iterative consolidation supported transition from activity-based categories toward conceptually distinct domains representing broader capability areas.</w:t>
      </w:r>
    </w:p>
    <w:p w14:paraId="5327D82D" w14:textId="341B1872" w:rsidR="006579C9" w:rsidRPr="001F1B51" w:rsidRDefault="006579C9" w:rsidP="001F1B51">
      <w:pPr>
        <w:pStyle w:val="Heading4"/>
      </w:pPr>
      <w:r w:rsidRPr="001F1B51">
        <w:t>Inconsistent Abstraction Across Competency Levels</w:t>
      </w:r>
    </w:p>
    <w:p w14:paraId="3A9D1DC0" w14:textId="77777777" w:rsidR="006579C9" w:rsidRPr="0084274D" w:rsidRDefault="006579C9" w:rsidP="001F1B51">
      <w:pPr>
        <w:pStyle w:val="BodyCopy"/>
      </w:pPr>
      <w:r w:rsidRPr="0084274D">
        <w:t>The Iteration 1 spreadsheet included competency statements at varying levels of abstraction. Some competency descriptions referenced specific tools or technical procedures, while others described conceptual understanding of disability models or universal design principles.</w:t>
      </w:r>
    </w:p>
    <w:p w14:paraId="388B1BB4" w14:textId="77777777" w:rsidR="006579C9" w:rsidRPr="0084274D" w:rsidRDefault="006579C9" w:rsidP="001F1B51">
      <w:pPr>
        <w:pStyle w:val="BodyCopy"/>
      </w:pPr>
      <w:r w:rsidRPr="0084274D">
        <w:t>Examples of variation included:</w:t>
      </w:r>
    </w:p>
    <w:p w14:paraId="4BB290C5" w14:textId="77777777" w:rsidR="006579C9" w:rsidRPr="0084274D" w:rsidRDefault="006579C9" w:rsidP="008E72B8">
      <w:pPr>
        <w:pStyle w:val="ListParagraph"/>
      </w:pPr>
      <w:r w:rsidRPr="0084274D">
        <w:t>tool-specific competencies referencing document accessibility checkers</w:t>
      </w:r>
    </w:p>
    <w:p w14:paraId="1C68C13E" w14:textId="77777777" w:rsidR="006579C9" w:rsidRPr="0084274D" w:rsidRDefault="006579C9" w:rsidP="008E72B8">
      <w:pPr>
        <w:pStyle w:val="ListParagraph"/>
      </w:pPr>
      <w:r w:rsidRPr="0084274D">
        <w:t>conceptual competencies describing social and biopsychosocial models of disability</w:t>
      </w:r>
    </w:p>
    <w:p w14:paraId="79CA1BAC" w14:textId="77777777" w:rsidR="006579C9" w:rsidRPr="0084274D" w:rsidRDefault="006579C9" w:rsidP="008E72B8">
      <w:pPr>
        <w:pStyle w:val="ListParagraph"/>
      </w:pPr>
      <w:r w:rsidRPr="0084274D">
        <w:t>practice-oriented competencies describing inclusive communication behaviours</w:t>
      </w:r>
    </w:p>
    <w:p w14:paraId="59947F82" w14:textId="77777777" w:rsidR="006579C9" w:rsidRPr="0084274D" w:rsidRDefault="006579C9" w:rsidP="001F1B51">
      <w:pPr>
        <w:pStyle w:val="BodyCopy"/>
      </w:pPr>
      <w:r w:rsidRPr="0084274D">
        <w:t>Variation in abstraction level across competency tiers may create interpretive challenges for organizations attempting to apply the framework consistently across job families.</w:t>
      </w:r>
    </w:p>
    <w:p w14:paraId="30EC78F7" w14:textId="77777777" w:rsidR="006579C9" w:rsidRPr="0084274D" w:rsidRDefault="006579C9" w:rsidP="001F1B51">
      <w:pPr>
        <w:pStyle w:val="BodyCopy"/>
      </w:pPr>
      <w:r w:rsidRPr="0084274D">
        <w:lastRenderedPageBreak/>
        <w:t>Refinement efforts focused on ensuring each competency level reflects a coherent progression from awareness to strategic implementation.</w:t>
      </w:r>
    </w:p>
    <w:p w14:paraId="7AE9744B" w14:textId="0FED32C0" w:rsidR="006579C9" w:rsidRPr="0084274D" w:rsidRDefault="006579C9" w:rsidP="001F1B51">
      <w:pPr>
        <w:pStyle w:val="Heading4"/>
      </w:pPr>
      <w:r w:rsidRPr="0084274D">
        <w:t>Technical Specificity and Plain Language Balance</w:t>
      </w:r>
    </w:p>
    <w:p w14:paraId="691F55E8" w14:textId="77777777" w:rsidR="006579C9" w:rsidRPr="0084274D" w:rsidRDefault="006579C9" w:rsidP="001F1B51">
      <w:pPr>
        <w:pStyle w:val="BodyCopy"/>
      </w:pPr>
      <w:r w:rsidRPr="0084274D">
        <w:t>Co-design participants emphasized the importance of plain language competency descriptions to support usability across organizational roles. Early framework drafts included terminology referencing specific technical standards that may not be familiar to all audiences.</w:t>
      </w:r>
    </w:p>
    <w:p w14:paraId="722F9E70" w14:textId="77777777" w:rsidR="006579C9" w:rsidRPr="0084274D" w:rsidRDefault="006579C9" w:rsidP="001F1B51">
      <w:pPr>
        <w:pStyle w:val="BodyCopy"/>
      </w:pPr>
      <w:r w:rsidRPr="0084274D">
        <w:t>Examples included explicit references to WCAG version numbers and technical compliance terminology.</w:t>
      </w:r>
    </w:p>
    <w:p w14:paraId="27DE23E1" w14:textId="77777777" w:rsidR="006579C9" w:rsidRPr="0084274D" w:rsidRDefault="006579C9" w:rsidP="001F1B51">
      <w:pPr>
        <w:pStyle w:val="BodyCopy"/>
      </w:pPr>
      <w:r w:rsidRPr="0084274D">
        <w:t>While technical precision remains important for specialized accessibility roles, participants emphasized the importance of ensuring competency descriptions are interpretable by individuals across professional contexts.</w:t>
      </w:r>
    </w:p>
    <w:p w14:paraId="10132584" w14:textId="77777777" w:rsidR="006579C9" w:rsidRPr="0084274D" w:rsidRDefault="006579C9" w:rsidP="001F1B51">
      <w:pPr>
        <w:pStyle w:val="BodyCopy"/>
      </w:pPr>
      <w:r w:rsidRPr="0084274D">
        <w:t>Refinement efforts focused on maintaining alignment with recognized standards while expressing competencies in language supporting broader accessibility literacy.</w:t>
      </w:r>
    </w:p>
    <w:p w14:paraId="4992E3F6" w14:textId="00F8FAE4" w:rsidR="006579C9" w:rsidRPr="0084274D" w:rsidRDefault="006579C9" w:rsidP="001F1B51">
      <w:pPr>
        <w:pStyle w:val="Heading4"/>
      </w:pPr>
      <w:r w:rsidRPr="0084274D">
        <w:t>Organizational Capability Gaps</w:t>
      </w:r>
    </w:p>
    <w:p w14:paraId="23403840" w14:textId="77777777" w:rsidR="006579C9" w:rsidRPr="0084274D" w:rsidRDefault="006579C9" w:rsidP="001F1B51">
      <w:pPr>
        <w:pStyle w:val="BodyCopy"/>
      </w:pPr>
      <w:r w:rsidRPr="0084274D">
        <w:t>Analysis of Iteration 3 co-design findings identified limited representation of competencies related to governance structures, procurement processes, and institutional accountability mechanisms.</w:t>
      </w:r>
    </w:p>
    <w:p w14:paraId="71BAA798" w14:textId="77777777" w:rsidR="006579C9" w:rsidRPr="0084274D" w:rsidRDefault="006579C9" w:rsidP="001F1B51">
      <w:pPr>
        <w:pStyle w:val="BodyCopy"/>
      </w:pPr>
      <w:r w:rsidRPr="0084274D">
        <w:t>Participants identified recurring uncertainty regarding responsibility for accessibility implementation across organizational units.</w:t>
      </w:r>
    </w:p>
    <w:p w14:paraId="20BC62D7" w14:textId="77777777" w:rsidR="006579C9" w:rsidRPr="0084274D" w:rsidRDefault="006579C9" w:rsidP="001F1B51">
      <w:pPr>
        <w:pStyle w:val="BodyCopy"/>
      </w:pPr>
      <w:r w:rsidRPr="0084274D">
        <w:t>Examples included:</w:t>
      </w:r>
    </w:p>
    <w:p w14:paraId="762885E1" w14:textId="77777777" w:rsidR="006579C9" w:rsidRPr="0084274D" w:rsidRDefault="006579C9" w:rsidP="008E72B8">
      <w:pPr>
        <w:pStyle w:val="ListParagraph"/>
      </w:pPr>
      <w:r w:rsidRPr="0084274D">
        <w:t>limited integration of accessibility requirements into procurement criteria</w:t>
      </w:r>
    </w:p>
    <w:p w14:paraId="0BA4F649" w14:textId="77777777" w:rsidR="006579C9" w:rsidRPr="0084274D" w:rsidRDefault="006579C9" w:rsidP="008E72B8">
      <w:pPr>
        <w:pStyle w:val="ListParagraph"/>
      </w:pPr>
      <w:r w:rsidRPr="0084274D">
        <w:t>absence of clearly defined reporting structures</w:t>
      </w:r>
    </w:p>
    <w:p w14:paraId="52891793" w14:textId="77777777" w:rsidR="006579C9" w:rsidRPr="0084274D" w:rsidRDefault="006579C9" w:rsidP="008E72B8">
      <w:pPr>
        <w:pStyle w:val="ListParagraph"/>
      </w:pPr>
      <w:r w:rsidRPr="0084274D">
        <w:t>inconsistent resourcing for accessibility initiatives</w:t>
      </w:r>
    </w:p>
    <w:p w14:paraId="705A400F" w14:textId="77777777" w:rsidR="006579C9" w:rsidRPr="0084274D" w:rsidRDefault="006579C9" w:rsidP="008E72B8">
      <w:pPr>
        <w:pStyle w:val="ListParagraph"/>
      </w:pPr>
      <w:r w:rsidRPr="0084274D">
        <w:lastRenderedPageBreak/>
        <w:t>reliance on informal expertise networks</w:t>
      </w:r>
    </w:p>
    <w:p w14:paraId="51588199" w14:textId="77777777" w:rsidR="006579C9" w:rsidRPr="0084274D" w:rsidRDefault="006579C9" w:rsidP="001F1B51">
      <w:pPr>
        <w:pStyle w:val="BodyCopy"/>
      </w:pPr>
      <w:r w:rsidRPr="0084274D">
        <w:t>These findings suggested the need for explicit articulation of competencies related to organizational capability development.</w:t>
      </w:r>
    </w:p>
    <w:p w14:paraId="4B70B80D" w14:textId="77777777" w:rsidR="006579C9" w:rsidRPr="0084274D" w:rsidRDefault="006579C9" w:rsidP="001F1B51">
      <w:pPr>
        <w:pStyle w:val="BodyCopy"/>
      </w:pPr>
      <w:r w:rsidRPr="0084274D">
        <w:t>In response, Organizational Accessibility and Accountability was defined as a domain addressing governance mechanisms supporting sustained accessibility practice.</w:t>
      </w:r>
    </w:p>
    <w:p w14:paraId="3E51B306" w14:textId="51E8D5D5" w:rsidR="006579C9" w:rsidRPr="0084274D" w:rsidRDefault="006579C9" w:rsidP="001F1B51">
      <w:pPr>
        <w:pStyle w:val="Heading4"/>
      </w:pPr>
      <w:r w:rsidRPr="0084274D">
        <w:t>Implications for Framework Redesign</w:t>
      </w:r>
    </w:p>
    <w:p w14:paraId="5F4DC106" w14:textId="2F757FA8" w:rsidR="006579C9" w:rsidRPr="001F1B51" w:rsidRDefault="006579C9" w:rsidP="001F1B51">
      <w:pPr>
        <w:pStyle w:val="BodyCopy"/>
        <w:rPr>
          <w:rStyle w:val="Strong"/>
          <w:b w:val="0"/>
          <w:bCs w:val="0"/>
        </w:rPr>
      </w:pPr>
      <w:r w:rsidRPr="001F1B51">
        <w:rPr>
          <w:rStyle w:val="Strong"/>
          <w:b w:val="0"/>
          <w:bCs w:val="0"/>
        </w:rPr>
        <w:t>Synthesis across artefacts suggested the need for a framework structure supporting:</w:t>
      </w:r>
    </w:p>
    <w:p w14:paraId="44F2E6D6" w14:textId="77777777" w:rsidR="006579C9" w:rsidRPr="0084274D" w:rsidRDefault="006579C9" w:rsidP="008E72B8">
      <w:pPr>
        <w:pStyle w:val="ListParagraph"/>
      </w:pPr>
      <w:r w:rsidRPr="0084274D">
        <w:t>conceptual clarity across domains</w:t>
      </w:r>
    </w:p>
    <w:p w14:paraId="358E698C" w14:textId="77777777" w:rsidR="006579C9" w:rsidRPr="0084274D" w:rsidRDefault="006579C9" w:rsidP="008E72B8">
      <w:pPr>
        <w:pStyle w:val="ListParagraph"/>
      </w:pPr>
      <w:r w:rsidRPr="0084274D">
        <w:t>consistent progression logic across competency levels</w:t>
      </w:r>
    </w:p>
    <w:p w14:paraId="3373F67A" w14:textId="77777777" w:rsidR="006579C9" w:rsidRPr="0084274D" w:rsidRDefault="006579C9" w:rsidP="008E72B8">
      <w:pPr>
        <w:pStyle w:val="ListParagraph"/>
      </w:pPr>
      <w:r w:rsidRPr="0084274D">
        <w:t>interpretability across professional roles</w:t>
      </w:r>
    </w:p>
    <w:p w14:paraId="02C37F44" w14:textId="77777777" w:rsidR="006579C9" w:rsidRPr="0084274D" w:rsidRDefault="006579C9" w:rsidP="008E72B8">
      <w:pPr>
        <w:pStyle w:val="ListParagraph"/>
      </w:pPr>
      <w:r w:rsidRPr="0084274D">
        <w:t>integration of governance and operational considerations</w:t>
      </w:r>
    </w:p>
    <w:p w14:paraId="20F5F81F" w14:textId="77777777" w:rsidR="006579C9" w:rsidRPr="0084274D" w:rsidRDefault="006579C9" w:rsidP="008E72B8">
      <w:pPr>
        <w:pStyle w:val="ListParagraph"/>
      </w:pPr>
      <w:r w:rsidRPr="0084274D">
        <w:t>balance between technical accuracy and plain language accessibility</w:t>
      </w:r>
    </w:p>
    <w:p w14:paraId="173C7B62" w14:textId="77777777" w:rsidR="006579C9" w:rsidRDefault="006579C9" w:rsidP="001F1B51">
      <w:pPr>
        <w:pStyle w:val="BodyCopy"/>
      </w:pPr>
      <w:r w:rsidRPr="0084274D">
        <w:t>These insights informed development of the revised competency architecture presented in the following section.</w:t>
      </w:r>
    </w:p>
    <w:p w14:paraId="065618F9" w14:textId="77777777" w:rsidR="006579C9" w:rsidRDefault="006579C9" w:rsidP="006579C9">
      <w:pPr>
        <w:pStyle w:val="Heading2"/>
        <w:sectPr w:rsidR="006579C9" w:rsidSect="006579C9">
          <w:pgSz w:w="12240" w:h="15840"/>
          <w:pgMar w:top="1440" w:right="1440" w:bottom="1440" w:left="1440" w:header="720" w:footer="720" w:gutter="0"/>
          <w:cols w:space="720"/>
          <w:docGrid w:linePitch="360"/>
        </w:sectPr>
      </w:pPr>
    </w:p>
    <w:p w14:paraId="3008CF0A" w14:textId="743EA7B0" w:rsidR="006579C9" w:rsidRPr="00EE2154" w:rsidRDefault="006579C9" w:rsidP="00CB40B5">
      <w:pPr>
        <w:pStyle w:val="Heading3"/>
      </w:pPr>
      <w:bookmarkStart w:id="37" w:name="_Toc243923422"/>
      <w:r w:rsidRPr="00EE2154">
        <w:lastRenderedPageBreak/>
        <w:t>Framework Redesign Rationale</w:t>
      </w:r>
      <w:bookmarkEnd w:id="37"/>
    </w:p>
    <w:p w14:paraId="5CFB9084" w14:textId="77777777" w:rsidR="006579C9" w:rsidRPr="00EE2154" w:rsidRDefault="006579C9" w:rsidP="001F1B51">
      <w:pPr>
        <w:pStyle w:val="BodyCopy"/>
      </w:pPr>
      <w:r w:rsidRPr="00EE2154">
        <w:t>The redesign of the Accessibility Competency Framework was guided by three considerations: empirical findings from the co-design process, structural analysis of earlier framework versions, and the need to produce a format that could be interpreted across roles without losing conceptual rigor. The goal was not to simplify accessibility into generic awareness statements, nor to reproduce a highly technical specialist framework for expert users only. Instead, the redesign sought to articulate a structure that could support collaboration between specialized accessibility professionals and people working in a wide range of organizational roles.</w:t>
      </w:r>
    </w:p>
    <w:p w14:paraId="39E408A5" w14:textId="77777777" w:rsidR="006579C9" w:rsidRPr="00EE2154" w:rsidRDefault="006579C9" w:rsidP="001F1B51">
      <w:pPr>
        <w:pStyle w:val="BodyCopy"/>
      </w:pPr>
      <w:r w:rsidRPr="00EE2154">
        <w:t>Three design principles shaped the revision. First, the framework needed to distinguish clearly between domains of practice. Earlier artefacts captured important content but included overlap between communication, meetings, presentations, and digital accessibility. The redesign therefore moved from an activity-based inventory toward broader domains representing durable organizational capability areas.</w:t>
      </w:r>
    </w:p>
    <w:p w14:paraId="7C2C82F8" w14:textId="77777777" w:rsidR="006579C9" w:rsidRPr="00EE2154" w:rsidRDefault="006579C9" w:rsidP="001F1B51">
      <w:pPr>
        <w:pStyle w:val="BodyCopy"/>
      </w:pPr>
      <w:r w:rsidRPr="00EE2154">
        <w:t>Second, the framework needed a more consistent developmental logic. Across earlier iterations, some competency statements described awareness, others described task performance, and others described leadership or governance functions. The revised structure retains four developmental levels</w:t>
      </w:r>
      <w:r>
        <w:t xml:space="preserve">: </w:t>
      </w:r>
      <w:r w:rsidRPr="00EE2154">
        <w:t>Foundational Awareness, Working Practice, Applied Integration, and Strategic Leadershi</w:t>
      </w:r>
      <w:r>
        <w:t>p. These</w:t>
      </w:r>
      <w:r w:rsidRPr="00EE2154">
        <w:t xml:space="preserve"> support clearer progression from baseline literacy to cross-functional leadership. This four-level structure also preserves continuity with the original tiering logic present in the earliest artefacts while improving interpretability.</w:t>
      </w:r>
    </w:p>
    <w:p w14:paraId="52A96CE9" w14:textId="77777777" w:rsidR="006579C9" w:rsidRPr="00EE2154" w:rsidRDefault="006579C9" w:rsidP="001F1B51">
      <w:pPr>
        <w:pStyle w:val="BodyCopy"/>
      </w:pPr>
      <w:r w:rsidRPr="00EE2154">
        <w:t xml:space="preserve">Third, the framework needed to reflect the dual reality emphasized throughout the co-design process: accessibility requires specialized expertise, but specialist expertise alone cannot sustain accessible organizations. In the present study, co-design participants similarly </w:t>
      </w:r>
      <w:r w:rsidRPr="00EE2154">
        <w:lastRenderedPageBreak/>
        <w:t xml:space="preserve">emphasized that accessibility barriers often emerge in everyday decisions made by people who do not hold formal accessibility roles. </w:t>
      </w:r>
    </w:p>
    <w:p w14:paraId="48C41A8F" w14:textId="77777777" w:rsidR="006579C9" w:rsidRDefault="006579C9" w:rsidP="001F1B51">
      <w:pPr>
        <w:pStyle w:val="BodyCopy"/>
      </w:pPr>
      <w:r w:rsidRPr="008A26BF">
        <w:t xml:space="preserve">These principles led to the selection of five domains: Co-Design and Lived Experience Partnership, Born-Accessible Design, Inclusive Communication, Engagement, and Participation Environments, Digital and Information Accessibility, and Organizational Accessibility and Accountability. </w:t>
      </w:r>
    </w:p>
    <w:p w14:paraId="263BB9B7" w14:textId="77777777" w:rsidR="006579C9" w:rsidRPr="008A26BF" w:rsidRDefault="006579C9" w:rsidP="001F1B51">
      <w:pPr>
        <w:pStyle w:val="BodyCopy"/>
      </w:pPr>
      <w:r w:rsidRPr="008A26BF">
        <w:t>The ordering of these domains reflects insights from the co-design process regarding how accessibility capability develops across sociotechnical systems. Co-Design and Lived Experience Partnership appears first because participants consistently emphasized that accessibility initiatives are strengthened when people with lived experience of disability are meaningfully involved in identifying barriers and shaping responses. Born-Accessible Design follows, reflecting repeated distinctions made by participants between proactive design approaches and reactive remediation practices, with prevention viewed as more effective than retrofit adjustments. Inclusive Communication, Engagement, and Participation Environments and Digital and Information Accessibility represent core operational conditions influencing participation across physical, hybrid, and digital contexts. Organizational Accessibility and Accountability was positioned as a distinct domain to reflect the importance of governance structures, resource allocation, role clarity, and institutional coordination in sustaining accessibility capability over time.</w:t>
      </w:r>
    </w:p>
    <w:p w14:paraId="5C506C2F" w14:textId="77777777" w:rsidR="006579C9" w:rsidRPr="00EE2154" w:rsidRDefault="006579C9" w:rsidP="001F1B51">
      <w:pPr>
        <w:pStyle w:val="BodyCopy"/>
      </w:pPr>
      <w:r w:rsidRPr="00EE2154">
        <w:t xml:space="preserve">The redesigned framework also reflects a deliberate accessibility decision about format. Earlier drafts used structures that were useful for working sessions but risked becoming difficult to interpret when removed from their development context. In response, the final framework is written in a narrative, role-transferable format. Each domain includes definition, rationale, and developmental progression. This approach supports accessibility by reducing reliance on dense tables while still preserving </w:t>
      </w:r>
      <w:r w:rsidRPr="00EE2154">
        <w:lastRenderedPageBreak/>
        <w:t xml:space="preserve">specificity. It also aligns with the co-design finding that plain language and structural clarity are important for uptake across roles. </w:t>
      </w:r>
    </w:p>
    <w:p w14:paraId="14532496" w14:textId="77777777" w:rsidR="006579C9" w:rsidRPr="00EE2154" w:rsidRDefault="006579C9" w:rsidP="001F1B51">
      <w:pPr>
        <w:pStyle w:val="BodyCopy"/>
      </w:pPr>
      <w:r w:rsidRPr="00EE2154">
        <w:t xml:space="preserve">At the same time, plain language does not mean reduction in rigor. Where highly technical standards apply, especially in digital and information accessibility, the framework assumes ongoing collaboration with specialized accessibility professionals. The purpose of the broader framework is to help people across functions understand what they need to know, what they need to do within their own scope of work, and when deeper specialist engagement is required. </w:t>
      </w:r>
    </w:p>
    <w:p w14:paraId="54AF5C57" w14:textId="77777777" w:rsidR="006579C9" w:rsidRPr="00EE2154" w:rsidRDefault="006579C9" w:rsidP="001F1B51">
      <w:pPr>
        <w:pStyle w:val="BodyCopy"/>
      </w:pPr>
      <w:r w:rsidRPr="00EE2154">
        <w:t>In this sense, the revised framework does not treat accessibility maturity as the product of one domain, one team, or one compliance checkpoint. It treats accessibility as a coordinated organizational capability supported by specialist knowledge, distributed competency, and systems-level accountability.</w:t>
      </w:r>
    </w:p>
    <w:p w14:paraId="66766B3E" w14:textId="77777777" w:rsidR="006579C9" w:rsidRDefault="006579C9" w:rsidP="006579C9">
      <w:pPr>
        <w:sectPr w:rsidR="006579C9" w:rsidSect="006579C9">
          <w:pgSz w:w="12240" w:h="15840"/>
          <w:pgMar w:top="1440" w:right="1440" w:bottom="1440" w:left="1440" w:header="720" w:footer="720" w:gutter="0"/>
          <w:cols w:space="720"/>
          <w:docGrid w:linePitch="360"/>
        </w:sectPr>
      </w:pPr>
    </w:p>
    <w:p w14:paraId="67FD0A1B" w14:textId="55D489BE" w:rsidR="006579C9" w:rsidRPr="008A6019" w:rsidRDefault="006579C9" w:rsidP="00CB40B5">
      <w:pPr>
        <w:pStyle w:val="Heading3"/>
      </w:pPr>
      <w:bookmarkStart w:id="38" w:name="_Toc243923423"/>
      <w:r w:rsidRPr="008A6019">
        <w:lastRenderedPageBreak/>
        <w:t>Revised Accessibility Competency Framework</w:t>
      </w:r>
      <w:bookmarkEnd w:id="38"/>
    </w:p>
    <w:p w14:paraId="71798CD1" w14:textId="77777777" w:rsidR="006579C9" w:rsidRPr="00217612" w:rsidRDefault="006579C9" w:rsidP="001F1B51">
      <w:pPr>
        <w:pStyle w:val="BodyCopy"/>
      </w:pPr>
      <w:r w:rsidRPr="00217612">
        <w:t>The framework is organized into five domains representing interconnected dimensions of organizational accessibility capability identified through the co-design process. Each domain addresses a distinct but related area of practice through which accessibility outcomes are shaped, reflecting the understanding that accessibility emerges through interactions between social, technical, environmental, and institutional conditions. The domains are framed through guiding questions that foreground relational accountability, proactive design, inclusive participation, technical accessibility, and organizational responsibility. Structuring the framework in this way supports interpretability across roles by emphasizing that accessibility is not solely the responsibility of specialists, but a shared organizational commitment that requires coordination across functions while maintaining the importance of professional accessibility expertise.</w:t>
      </w:r>
    </w:p>
    <w:p w14:paraId="5F1C140D" w14:textId="77777777" w:rsidR="006579C9" w:rsidRPr="00217612" w:rsidRDefault="006579C9" w:rsidP="001F1B51">
      <w:pPr>
        <w:pStyle w:val="BodyCopy"/>
      </w:pPr>
      <w:r w:rsidRPr="00217612">
        <w:t>Together, the domains describe how accessibility practice is influenced by participation processes, planning decisions, communication environments, digital systems, and governance structures. The structure reflects insights from the co-design process indicating that accessibility barriers often arise when these dimensions are addressed in isolation rather than through coordinated approaches.</w:t>
      </w:r>
    </w:p>
    <w:p w14:paraId="533A26BD" w14:textId="77777777" w:rsidR="006579C9" w:rsidRPr="00AF1EC5" w:rsidRDefault="006579C9" w:rsidP="001F1B51">
      <w:pPr>
        <w:pStyle w:val="BodyCopy"/>
      </w:pPr>
      <w:r w:rsidRPr="00AF1EC5">
        <w:t xml:space="preserve">Presenting the domains in this way supports interpretability across roles by emphasizing shared responsibility for accessibility and the importance of collaboration with people with lived experience of disability. </w:t>
      </w:r>
    </w:p>
    <w:p w14:paraId="78ED0FB3" w14:textId="77777777" w:rsidR="006579C9" w:rsidRPr="00217612" w:rsidRDefault="006579C9" w:rsidP="001F1B51">
      <w:pPr>
        <w:pStyle w:val="ListParagraph"/>
      </w:pPr>
      <w:r w:rsidRPr="00217612">
        <w:rPr>
          <w:b/>
          <w:bCs/>
        </w:rPr>
        <w:t>Domain 1 – Co-Design and Lived Experience Partnership</w:t>
      </w:r>
      <w:r w:rsidRPr="00217612">
        <w:br/>
      </w:r>
      <w:r w:rsidRPr="008E7A9E">
        <w:rPr>
          <w:b/>
          <w:bCs/>
          <w:i/>
          <w:iCs/>
        </w:rPr>
        <w:t>Focus of competency:</w:t>
      </w:r>
      <w:r w:rsidRPr="00217612">
        <w:t xml:space="preserve"> Inclusion of lived experience as expertise in decision-making processes</w:t>
      </w:r>
      <w:r w:rsidRPr="00217612">
        <w:br/>
      </w:r>
      <w:r w:rsidRPr="008E7A9E">
        <w:rPr>
          <w:b/>
          <w:bCs/>
          <w:i/>
          <w:iCs/>
        </w:rPr>
        <w:t>Guiding question:</w:t>
      </w:r>
      <w:r w:rsidRPr="00217612">
        <w:t xml:space="preserve"> How do we work in partnership with people with </w:t>
      </w:r>
      <w:r w:rsidRPr="00217612">
        <w:lastRenderedPageBreak/>
        <w:t>lived experience of disability to shape decisions that affect accessibility outcomes?</w:t>
      </w:r>
    </w:p>
    <w:p w14:paraId="39804D93" w14:textId="77777777" w:rsidR="006579C9" w:rsidRPr="00217612" w:rsidRDefault="006579C9" w:rsidP="001F1B51">
      <w:pPr>
        <w:pStyle w:val="ListParagraph"/>
      </w:pPr>
      <w:r w:rsidRPr="00217612">
        <w:rPr>
          <w:b/>
          <w:bCs/>
        </w:rPr>
        <w:t>Domain 2 – Born-Accessible Design</w:t>
      </w:r>
      <w:r w:rsidRPr="00217612">
        <w:br/>
      </w:r>
      <w:r w:rsidRPr="008E7A9E">
        <w:rPr>
          <w:b/>
          <w:bCs/>
          <w:i/>
          <w:iCs/>
        </w:rPr>
        <w:t>Focus of competency</w:t>
      </w:r>
      <w:r w:rsidRPr="00217612">
        <w:rPr>
          <w:i/>
          <w:iCs/>
        </w:rPr>
        <w:t>:</w:t>
      </w:r>
      <w:r w:rsidRPr="00217612">
        <w:t xml:space="preserve"> Proactive integration of accessibility considerations in planning and design processes</w:t>
      </w:r>
      <w:r w:rsidRPr="00217612">
        <w:br/>
      </w:r>
      <w:r w:rsidRPr="008E7A9E">
        <w:rPr>
          <w:b/>
          <w:bCs/>
          <w:i/>
          <w:iCs/>
        </w:rPr>
        <w:t>Guiding question:</w:t>
      </w:r>
      <w:r w:rsidRPr="00217612">
        <w:t xml:space="preserve"> How do we design processes, systems, and environments that reduce the need for individuals to request access after barriers are created?</w:t>
      </w:r>
    </w:p>
    <w:p w14:paraId="0A2CCA83" w14:textId="77777777" w:rsidR="006579C9" w:rsidRPr="00217612" w:rsidRDefault="006579C9" w:rsidP="001F1B51">
      <w:pPr>
        <w:pStyle w:val="ListParagraph"/>
      </w:pPr>
      <w:r w:rsidRPr="00217612">
        <w:rPr>
          <w:b/>
          <w:bCs/>
        </w:rPr>
        <w:t>Domain 3 – Inclusive Communication, Engagement, and Participation Environments</w:t>
      </w:r>
      <w:r w:rsidRPr="00217612">
        <w:br/>
      </w:r>
      <w:r w:rsidRPr="001B5C4B">
        <w:rPr>
          <w:b/>
          <w:bCs/>
          <w:i/>
          <w:iCs/>
        </w:rPr>
        <w:t>Focus of competency:</w:t>
      </w:r>
      <w:r w:rsidRPr="00217612">
        <w:t xml:space="preserve"> Conditions supporting equitable participation across physical, digital, and hybrid contexts</w:t>
      </w:r>
      <w:r w:rsidRPr="00217612">
        <w:br/>
      </w:r>
      <w:r w:rsidRPr="001B5C4B">
        <w:rPr>
          <w:b/>
          <w:bCs/>
          <w:i/>
          <w:iCs/>
        </w:rPr>
        <w:t>Guiding question:</w:t>
      </w:r>
      <w:r w:rsidRPr="00217612">
        <w:t xml:space="preserve"> How do we create conditions that support equitable participation across diverse ways of communicating, sensing, and interacting?</w:t>
      </w:r>
    </w:p>
    <w:p w14:paraId="7361A95A" w14:textId="77777777" w:rsidR="006579C9" w:rsidRPr="00217612" w:rsidRDefault="006579C9" w:rsidP="001F1B51">
      <w:pPr>
        <w:pStyle w:val="ListParagraph"/>
      </w:pPr>
      <w:r w:rsidRPr="00217612">
        <w:rPr>
          <w:b/>
          <w:bCs/>
        </w:rPr>
        <w:t>Domain 4 – Digital and Information Accessibility</w:t>
      </w:r>
      <w:r w:rsidRPr="00217612">
        <w:br/>
      </w:r>
      <w:r w:rsidRPr="009D72F0">
        <w:rPr>
          <w:b/>
          <w:bCs/>
          <w:i/>
          <w:iCs/>
        </w:rPr>
        <w:t>Focus of competency:</w:t>
      </w:r>
      <w:r w:rsidRPr="00217612">
        <w:t xml:space="preserve"> Accessibility of digital systems, information environments, and emerging technologies</w:t>
      </w:r>
      <w:r w:rsidRPr="00217612">
        <w:br/>
      </w:r>
      <w:r w:rsidRPr="009D72F0">
        <w:rPr>
          <w:b/>
          <w:bCs/>
          <w:i/>
          <w:iCs/>
        </w:rPr>
        <w:t>Guiding question:</w:t>
      </w:r>
      <w:r w:rsidRPr="00217612">
        <w:t xml:space="preserve"> How do digital systems shape who can access, interpret, and use information?</w:t>
      </w:r>
    </w:p>
    <w:p w14:paraId="04AAD085" w14:textId="77777777" w:rsidR="006579C9" w:rsidRPr="00217612" w:rsidRDefault="006579C9" w:rsidP="001F1B51">
      <w:pPr>
        <w:pStyle w:val="ListParagraph"/>
      </w:pPr>
      <w:r w:rsidRPr="00217612">
        <w:rPr>
          <w:b/>
          <w:bCs/>
        </w:rPr>
        <w:t>Domain 5 – Organizational Accessibility and Accountability</w:t>
      </w:r>
      <w:r w:rsidRPr="00217612">
        <w:br/>
      </w:r>
      <w:r w:rsidRPr="009D72F0">
        <w:rPr>
          <w:b/>
          <w:bCs/>
          <w:i/>
          <w:iCs/>
        </w:rPr>
        <w:t>Focus of competency:</w:t>
      </w:r>
      <w:r w:rsidRPr="00217612">
        <w:t xml:space="preserve"> Governance structures supporting sustained accessibility practice</w:t>
      </w:r>
      <w:r w:rsidRPr="00217612">
        <w:br/>
      </w:r>
      <w:r w:rsidRPr="009D72F0">
        <w:rPr>
          <w:b/>
          <w:bCs/>
          <w:i/>
          <w:iCs/>
        </w:rPr>
        <w:t>Guiding question:</w:t>
      </w:r>
      <w:r w:rsidRPr="00217612">
        <w:t xml:space="preserve"> How do organizational structures distribute responsibility for accessibility and support accountability over time?</w:t>
      </w:r>
    </w:p>
    <w:p w14:paraId="280E244F" w14:textId="77777777" w:rsidR="006579C9" w:rsidRPr="00217612" w:rsidRDefault="006579C9" w:rsidP="001F1B51">
      <w:pPr>
        <w:pStyle w:val="BodyCopy"/>
      </w:pPr>
      <w:r w:rsidRPr="00217612">
        <w:t>Competenc</w:t>
      </w:r>
      <w:r>
        <w:t>y progression</w:t>
      </w:r>
      <w:r w:rsidRPr="00217612">
        <w:t xml:space="preserve"> </w:t>
      </w:r>
      <w:r>
        <w:t>is</w:t>
      </w:r>
      <w:r w:rsidRPr="00217612">
        <w:t xml:space="preserve"> expressed across four levels reflecting increasing integration of accessibility considerations into practice, coordination, and organizational decision-making contexts. The levels are not intended to represent a linear progression for all roles but rather describe different ways accessibility competency may be demonstrated depending on responsibilities and scope of influence.</w:t>
      </w:r>
    </w:p>
    <w:p w14:paraId="4193A1B2" w14:textId="77777777" w:rsidR="006579C9" w:rsidRPr="00217612" w:rsidRDefault="006579C9" w:rsidP="008F4B3F">
      <w:pPr>
        <w:pStyle w:val="ListParagraph"/>
        <w:numPr>
          <w:ilvl w:val="0"/>
          <w:numId w:val="9"/>
        </w:numPr>
      </w:pPr>
      <w:r w:rsidRPr="00217612">
        <w:rPr>
          <w:b/>
          <w:bCs/>
        </w:rPr>
        <w:lastRenderedPageBreak/>
        <w:t>Foundational Awareness</w:t>
      </w:r>
      <w:r>
        <w:rPr>
          <w:b/>
          <w:bCs/>
        </w:rPr>
        <w:t>.</w:t>
      </w:r>
      <w:r w:rsidRPr="00217612">
        <w:t xml:space="preserve"> </w:t>
      </w:r>
      <w:r>
        <w:t>R</w:t>
      </w:r>
      <w:r w:rsidRPr="00217612">
        <w:t>efers to baseline understanding of accessibility concepts, responsibilities, and implications. At this level, individuals recognize accessibility as relevant to their work and understand core principles, common barriers, and the importance of engaging respectfully with people with lived experience of disability.</w:t>
      </w:r>
    </w:p>
    <w:p w14:paraId="57AF0FF1" w14:textId="77777777" w:rsidR="006579C9" w:rsidRPr="00217612" w:rsidRDefault="006579C9" w:rsidP="008F4B3F">
      <w:pPr>
        <w:pStyle w:val="ListParagraph"/>
        <w:numPr>
          <w:ilvl w:val="0"/>
          <w:numId w:val="9"/>
        </w:numPr>
      </w:pPr>
      <w:r w:rsidRPr="00217612">
        <w:rPr>
          <w:b/>
          <w:bCs/>
        </w:rPr>
        <w:t>Working Practice</w:t>
      </w:r>
      <w:r>
        <w:rPr>
          <w:b/>
          <w:bCs/>
        </w:rPr>
        <w:t>.</w:t>
      </w:r>
      <w:r w:rsidRPr="00217612">
        <w:t xml:space="preserve"> </w:t>
      </w:r>
      <w:r>
        <w:t>R</w:t>
      </w:r>
      <w:r w:rsidRPr="00217612">
        <w:t>efers to the ability to apply accessibility considerations within routine tasks and interactions. At this level, individuals demonstrate accessibility through day-to-day practices within their role, including communication practices, planning decisions, and use of tools or environments that influence participation.</w:t>
      </w:r>
    </w:p>
    <w:p w14:paraId="72036810" w14:textId="77777777" w:rsidR="006579C9" w:rsidRPr="00217612" w:rsidRDefault="006579C9" w:rsidP="008F4B3F">
      <w:pPr>
        <w:pStyle w:val="ListParagraph"/>
        <w:numPr>
          <w:ilvl w:val="0"/>
          <w:numId w:val="9"/>
        </w:numPr>
      </w:pPr>
      <w:r w:rsidRPr="00217612">
        <w:rPr>
          <w:b/>
          <w:bCs/>
        </w:rPr>
        <w:t>Applied Integration</w:t>
      </w:r>
      <w:r>
        <w:t>. R</w:t>
      </w:r>
      <w:r w:rsidRPr="00217612">
        <w:t>efers to the ability to integrate accessibility considerations into planning, coordination, and problem-solving across projects, teams, or functions. At this level, individuals embed accessibility into workflows, processes, and collaborative practices, contributing to more consistent organizational approaches.</w:t>
      </w:r>
    </w:p>
    <w:p w14:paraId="07BC3403" w14:textId="77777777" w:rsidR="006579C9" w:rsidRPr="00217612" w:rsidRDefault="006579C9" w:rsidP="008F4B3F">
      <w:pPr>
        <w:pStyle w:val="ListParagraph"/>
        <w:numPr>
          <w:ilvl w:val="0"/>
          <w:numId w:val="9"/>
        </w:numPr>
      </w:pPr>
      <w:r w:rsidRPr="00217612">
        <w:rPr>
          <w:b/>
          <w:bCs/>
        </w:rPr>
        <w:t>Strategic Leadership</w:t>
      </w:r>
      <w:r>
        <w:t>. R</w:t>
      </w:r>
      <w:r w:rsidRPr="00217612">
        <w:t>efers to the ability to shape organizational conditions that support accessibility at scale. At this level, individuals influence governance structures, resource allocation, standards, performance expectations, and continuous improvement processes that sustain accessibility over time.</w:t>
      </w:r>
    </w:p>
    <w:p w14:paraId="5A2416DA" w14:textId="0F35CD79" w:rsidR="006579C9" w:rsidRDefault="006579C9" w:rsidP="001F1B51">
      <w:pPr>
        <w:pStyle w:val="BodyCopy"/>
        <w:sectPr w:rsidR="006579C9" w:rsidSect="006579C9">
          <w:pgSz w:w="12240" w:h="15840"/>
          <w:pgMar w:top="1440" w:right="1440" w:bottom="1440" w:left="1440" w:header="720" w:footer="720" w:gutter="0"/>
          <w:cols w:space="720"/>
          <w:docGrid w:linePitch="360"/>
        </w:sectPr>
      </w:pPr>
      <w:r w:rsidRPr="008A6019">
        <w:t>These levels are not intended to function as rigid stages that every role must progress through in the same way. Rather, they provide a common structure for interpreting how accessibility capability may appear across diverse roles. In some specialist roles, technical depth may increase rapidly. In other roles, strategic influence may matter more than technical execution. The framework therefore supports role mapping rather than one-size-fits-all assessment</w:t>
      </w:r>
      <w:r w:rsidR="00512A8E">
        <w:t>.</w:t>
      </w:r>
    </w:p>
    <w:p w14:paraId="358D9924" w14:textId="2974BD87" w:rsidR="006579C9" w:rsidRPr="00A22482" w:rsidRDefault="006579C9" w:rsidP="001F1B51">
      <w:pPr>
        <w:pStyle w:val="Heading4"/>
      </w:pPr>
      <w:r w:rsidRPr="00A22482">
        <w:lastRenderedPageBreak/>
        <w:t>Domain 1 – Co-Design and Lived Experience Partnership</w:t>
      </w:r>
    </w:p>
    <w:p w14:paraId="1438BBCB" w14:textId="77777777" w:rsidR="006579C9" w:rsidRDefault="006579C9" w:rsidP="001F1B51">
      <w:pPr>
        <w:pStyle w:val="ListParagraph"/>
      </w:pPr>
      <w:r w:rsidRPr="00A22482">
        <w:rPr>
          <w:b/>
          <w:bCs/>
        </w:rPr>
        <w:t>Focus of competency:</w:t>
      </w:r>
      <w:r w:rsidRPr="00A22482">
        <w:t xml:space="preserve"> Inclusion of lived experience as expertise in decision-making processes</w:t>
      </w:r>
    </w:p>
    <w:p w14:paraId="5F8919AF" w14:textId="77777777" w:rsidR="006579C9" w:rsidRPr="00A22482" w:rsidRDefault="006579C9" w:rsidP="001F1B51">
      <w:pPr>
        <w:pStyle w:val="ListParagraph"/>
      </w:pPr>
      <w:r w:rsidRPr="00A22482">
        <w:rPr>
          <w:b/>
          <w:bCs/>
        </w:rPr>
        <w:t>Guiding question:</w:t>
      </w:r>
      <w:r w:rsidRPr="00A22482">
        <w:t xml:space="preserve"> How do we work in partnership with people with lived experience of disability to shape decisions that affect accessibility outcomes?</w:t>
      </w:r>
    </w:p>
    <w:p w14:paraId="29AB3E98" w14:textId="77777777" w:rsidR="006579C9" w:rsidRPr="00A22482" w:rsidRDefault="006579C9" w:rsidP="001F1B51">
      <w:pPr>
        <w:pStyle w:val="BodyCopy"/>
      </w:pPr>
      <w:r w:rsidRPr="00A22482">
        <w:t>Co-design is positioned in this framework as both a methodological principle and an organizational competency. Across the three iterations of framework development, participants consistently emphasized that accessibility initiatives are strengthened when people with lived experience of disability participate meaningfully in defining problems, identifying barriers, and shaping solutions. This aligns with participatory design traditions in which knowledge is produced collaboratively rather than extracted through consultation alone (Sanders &amp; Stappers, 2008).</w:t>
      </w:r>
    </w:p>
    <w:p w14:paraId="298D15E7" w14:textId="77777777" w:rsidR="006579C9" w:rsidRDefault="006579C9" w:rsidP="001F1B51">
      <w:pPr>
        <w:pStyle w:val="BodyCopy"/>
      </w:pPr>
      <w:r w:rsidRPr="00A22482">
        <w:t xml:space="preserve">Within disability studies, the principle </w:t>
      </w:r>
      <w:r w:rsidRPr="00A22482">
        <w:rPr>
          <w:i/>
          <w:iCs/>
        </w:rPr>
        <w:t>Nothing About Us Without Us</w:t>
      </w:r>
      <w:r w:rsidRPr="00A22482">
        <w:t xml:space="preserve"> reflects longstanding critiques of decision-making processes that exclude </w:t>
      </w:r>
      <w:r>
        <w:t>persons with disabilities</w:t>
      </w:r>
      <w:r w:rsidRPr="00A22482">
        <w:t xml:space="preserve"> from shaping policies and environments that affect their participation (Charlton, 1998). Arnstein’s (1969) ladder of participation further illustrates that participation may vary from tokenistic consultation to partnership and shared decision-making authority. Co-design participants emphasized that accessibility competency must include the ability to recognize these distinctions and to develop practices that support meaningful collaboration rather than symbolic inclusion.</w:t>
      </w:r>
    </w:p>
    <w:p w14:paraId="248DF9BD" w14:textId="77777777" w:rsidR="006579C9" w:rsidRPr="005C2448" w:rsidRDefault="006579C9" w:rsidP="001F1B51">
      <w:pPr>
        <w:pStyle w:val="BodyCopy"/>
      </w:pPr>
      <w:r w:rsidRPr="005C2448">
        <w:t xml:space="preserve">Cultural humility strengthens co-design practice by emphasizing reflexivity regarding power, positionality, and knowledge hierarchies. Cultural humility involves recognizing that individuals bring different social, cultural, and experiential perspectives that shape how accessibility barriers are experienced and interpreted. Intersectional perspectives further highlight </w:t>
      </w:r>
      <w:r w:rsidRPr="005C2448">
        <w:lastRenderedPageBreak/>
        <w:t>that disability interacts with other dimensions of identity, including race, gender, language, and socio-economic context (Crenshaw, 1989).</w:t>
      </w:r>
    </w:p>
    <w:p w14:paraId="75B291B0" w14:textId="77777777" w:rsidR="006579C9" w:rsidRPr="005C2448" w:rsidRDefault="006579C9" w:rsidP="001F1B51">
      <w:pPr>
        <w:pStyle w:val="BodyCopy"/>
      </w:pPr>
      <w:r w:rsidRPr="005C2448">
        <w:t>Positioning cultural humility as part of this domain reflects the understanding that accessibility practice involves ongoing learning rather than mastery of a fixed body of knowledge. Cultural humility supports awareness of how assumptions, professional norms, or institutional practices may unintentionally shape participation conditions.</w:t>
      </w:r>
    </w:p>
    <w:p w14:paraId="5E8BF875" w14:textId="77777777" w:rsidR="006579C9" w:rsidRPr="005C2448" w:rsidRDefault="006579C9" w:rsidP="001F1B51">
      <w:pPr>
        <w:pStyle w:val="BodyCopy"/>
      </w:pPr>
      <w:r w:rsidRPr="005C2448">
        <w:t>Co-design competency therefore includes both relational and structural dimensions. Relational dimensions include respectful engagement, reflexivity, and recognition of lived experience as expertise. Structural dimensions include creating conditions that enable participation, such as accessible engagement formats, transparent decision-making processes, and recognition of lived experience contributions as legitimate expertise.</w:t>
      </w:r>
    </w:p>
    <w:p w14:paraId="3AC79385" w14:textId="77777777" w:rsidR="006579C9" w:rsidRPr="005C2448" w:rsidRDefault="006579C9" w:rsidP="001F1B51">
      <w:pPr>
        <w:pStyle w:val="BodyCopy"/>
      </w:pPr>
      <w:r w:rsidRPr="005C2448">
        <w:t>Importantly, positioning co-design as a domain does not imply that every role is responsible for facilitating formal co-design processes. Rather, the competency reflects an understanding that many professional roles influence whether participation processes are inclusive, whether lived experience input is incorporated meaningfully, and whether decision-making structures support equitable collaboration.</w:t>
      </w:r>
    </w:p>
    <w:p w14:paraId="15732831" w14:textId="77777777" w:rsidR="006579C9" w:rsidRPr="00A22482" w:rsidRDefault="006579C9" w:rsidP="001F1B51">
      <w:pPr>
        <w:pStyle w:val="BodyCopy"/>
      </w:pPr>
      <w:r w:rsidRPr="005C2448">
        <w:t>Across the co-design process, participants emphasized that accessibility initiatives should not rely solely on individual willingness to advocate for inclusion. Organizational capability is strengthened when expectations regarding collaboration with people with lived experience of disability are embedded within planning processes, governance structures, and professional practices.</w:t>
      </w:r>
    </w:p>
    <w:p w14:paraId="7DD98F3A" w14:textId="77777777" w:rsidR="006579C9" w:rsidRPr="00A22482" w:rsidRDefault="006579C9" w:rsidP="001F1B51">
      <w:pPr>
        <w:pStyle w:val="Heading5"/>
      </w:pPr>
      <w:r>
        <w:t xml:space="preserve">1. </w:t>
      </w:r>
      <w:r w:rsidRPr="00A22482">
        <w:t>Foundational Awareness</w:t>
      </w:r>
    </w:p>
    <w:p w14:paraId="1E58A373" w14:textId="77777777" w:rsidR="006579C9" w:rsidRDefault="006579C9" w:rsidP="001F1B51">
      <w:pPr>
        <w:pStyle w:val="BodyCopy"/>
      </w:pPr>
      <w:r w:rsidRPr="00A17A39">
        <w:t xml:space="preserve">At the foundational level, individuals recognize lived experience of disability as a form of expertise that contributes to understanding accessibility barriers and enabling conditions. Individuals demonstrate awareness that </w:t>
      </w:r>
      <w:r w:rsidRPr="00A17A39">
        <w:lastRenderedPageBreak/>
        <w:t>cultural, social, and institutional contexts influence how accessibility barriers are experienced</w:t>
      </w:r>
      <w:r>
        <w:t>.</w:t>
      </w:r>
    </w:p>
    <w:p w14:paraId="49834486" w14:textId="77777777" w:rsidR="006579C9" w:rsidRPr="00A17A39" w:rsidRDefault="006579C9" w:rsidP="001F1B51">
      <w:pPr>
        <w:pStyle w:val="BodyCopy"/>
      </w:pPr>
      <w:r>
        <w:t>I</w:t>
      </w:r>
      <w:r w:rsidRPr="00A17A39">
        <w:t>ndicative practices include:</w:t>
      </w:r>
    </w:p>
    <w:p w14:paraId="4BE8A909" w14:textId="77777777" w:rsidR="006579C9" w:rsidRDefault="006579C9" w:rsidP="008E72B8">
      <w:pPr>
        <w:pStyle w:val="ListParagraph"/>
      </w:pPr>
      <w:r w:rsidRPr="00A17A39">
        <w:t>recognizing lived experience as a legitimate form of knowledge</w:t>
      </w:r>
    </w:p>
    <w:p w14:paraId="37A9AEBD" w14:textId="77777777" w:rsidR="006579C9" w:rsidRDefault="006579C9" w:rsidP="008E72B8">
      <w:pPr>
        <w:pStyle w:val="ListParagraph"/>
      </w:pPr>
      <w:r w:rsidRPr="00A17A39">
        <w:t xml:space="preserve">understanding that participation conditions influence inclusion </w:t>
      </w:r>
    </w:p>
    <w:p w14:paraId="03A154CB" w14:textId="77777777" w:rsidR="006579C9" w:rsidRDefault="006579C9" w:rsidP="008E72B8">
      <w:pPr>
        <w:pStyle w:val="ListParagraph"/>
      </w:pPr>
      <w:r w:rsidRPr="00A17A39">
        <w:t xml:space="preserve">recognizing diversity within disability experiences </w:t>
      </w:r>
    </w:p>
    <w:p w14:paraId="5F3E91D6" w14:textId="77777777" w:rsidR="006579C9" w:rsidRDefault="006579C9" w:rsidP="008E72B8">
      <w:pPr>
        <w:pStyle w:val="ListParagraph"/>
      </w:pPr>
      <w:r w:rsidRPr="00A17A39">
        <w:t xml:space="preserve">demonstrating openness to learning from lived experience perspectives </w:t>
      </w:r>
    </w:p>
    <w:p w14:paraId="7E6DB161" w14:textId="77777777" w:rsidR="006579C9" w:rsidRDefault="006579C9" w:rsidP="008E72B8">
      <w:pPr>
        <w:pStyle w:val="ListParagraph"/>
      </w:pPr>
      <w:r w:rsidRPr="00A17A39">
        <w:t>recognizing that assumptions may influence decision-making</w:t>
      </w:r>
    </w:p>
    <w:p w14:paraId="513AD2FE" w14:textId="77777777" w:rsidR="006579C9" w:rsidRPr="00A22482" w:rsidRDefault="006579C9" w:rsidP="008E72B8">
      <w:pPr>
        <w:pStyle w:val="ListParagraph"/>
      </w:pPr>
      <w:r w:rsidRPr="00A17A39">
        <w:t>understanding the distinction between consultation and collaboration</w:t>
      </w:r>
    </w:p>
    <w:p w14:paraId="58BD44BF" w14:textId="77777777" w:rsidR="006579C9" w:rsidRDefault="006579C9" w:rsidP="001F1B51">
      <w:pPr>
        <w:pStyle w:val="Heading5"/>
      </w:pPr>
      <w:r>
        <w:t xml:space="preserve">2. </w:t>
      </w:r>
      <w:r w:rsidRPr="00A22482">
        <w:t>Working Practice</w:t>
      </w:r>
    </w:p>
    <w:p w14:paraId="7003317E" w14:textId="77777777" w:rsidR="006579C9" w:rsidRPr="00B741CD" w:rsidRDefault="006579C9" w:rsidP="001F1B51">
      <w:pPr>
        <w:pStyle w:val="BodyCopy"/>
      </w:pPr>
      <w:r w:rsidRPr="00B741CD">
        <w:t>At the working practice level, individuals apply principles of respectful engagement and cultural humility when interacting with people with lived experience of disability. Individuals recognize how their work may influence participation conditions and decision-making processes.</w:t>
      </w:r>
    </w:p>
    <w:p w14:paraId="458EB45F" w14:textId="77777777" w:rsidR="006579C9" w:rsidRPr="00B741CD" w:rsidRDefault="006579C9" w:rsidP="001F1B51">
      <w:pPr>
        <w:pStyle w:val="BodyCopy"/>
      </w:pPr>
      <w:r w:rsidRPr="00B741CD">
        <w:t>Indicative practices include:</w:t>
      </w:r>
    </w:p>
    <w:p w14:paraId="0EAA7542" w14:textId="77777777" w:rsidR="006579C9" w:rsidRPr="00B741CD" w:rsidRDefault="006579C9" w:rsidP="008E72B8">
      <w:pPr>
        <w:pStyle w:val="ListParagraph"/>
      </w:pPr>
      <w:r w:rsidRPr="00B741CD">
        <w:t xml:space="preserve">seeking input from people with lived experience where relevant </w:t>
      </w:r>
    </w:p>
    <w:p w14:paraId="3C612929" w14:textId="77777777" w:rsidR="006579C9" w:rsidRPr="00B741CD" w:rsidRDefault="006579C9" w:rsidP="008E72B8">
      <w:pPr>
        <w:pStyle w:val="ListParagraph"/>
      </w:pPr>
      <w:r w:rsidRPr="00B741CD">
        <w:t xml:space="preserve">communicating clearly about purpose and scope of engagement </w:t>
      </w:r>
    </w:p>
    <w:p w14:paraId="7674EEF8" w14:textId="77777777" w:rsidR="006579C9" w:rsidRPr="00B741CD" w:rsidRDefault="006579C9" w:rsidP="008E72B8">
      <w:pPr>
        <w:pStyle w:val="ListParagraph"/>
      </w:pPr>
      <w:r w:rsidRPr="00B741CD">
        <w:t xml:space="preserve">acknowledging lived experience contributions in decision-making processes </w:t>
      </w:r>
    </w:p>
    <w:p w14:paraId="7F00A191" w14:textId="77777777" w:rsidR="006579C9" w:rsidRPr="00B741CD" w:rsidRDefault="006579C9" w:rsidP="008E72B8">
      <w:pPr>
        <w:pStyle w:val="ListParagraph"/>
      </w:pPr>
      <w:r w:rsidRPr="00B741CD">
        <w:t xml:space="preserve">using inclusive language </w:t>
      </w:r>
    </w:p>
    <w:p w14:paraId="56433315" w14:textId="77777777" w:rsidR="006579C9" w:rsidRPr="00B741CD" w:rsidRDefault="006579C9" w:rsidP="008E72B8">
      <w:pPr>
        <w:pStyle w:val="ListParagraph"/>
      </w:pPr>
      <w:r w:rsidRPr="00B741CD">
        <w:t xml:space="preserve">allowing adequate time for participation </w:t>
      </w:r>
    </w:p>
    <w:p w14:paraId="6B0B8CC2" w14:textId="77777777" w:rsidR="006579C9" w:rsidRPr="00B741CD" w:rsidRDefault="006579C9" w:rsidP="008E72B8">
      <w:pPr>
        <w:pStyle w:val="ListParagraph"/>
      </w:pPr>
      <w:r w:rsidRPr="00B741CD">
        <w:t xml:space="preserve">recognizing when additional perspectives may be needed </w:t>
      </w:r>
    </w:p>
    <w:p w14:paraId="3523F067" w14:textId="77777777" w:rsidR="006579C9" w:rsidRPr="00B741CD" w:rsidRDefault="006579C9" w:rsidP="008E72B8">
      <w:pPr>
        <w:pStyle w:val="ListParagraph"/>
      </w:pPr>
      <w:r w:rsidRPr="00B741CD">
        <w:t>reflecting on how professional assumptions influence decisions</w:t>
      </w:r>
    </w:p>
    <w:p w14:paraId="3ECA780F" w14:textId="77777777" w:rsidR="006579C9" w:rsidRPr="00A22482" w:rsidRDefault="006579C9" w:rsidP="001F1B51">
      <w:pPr>
        <w:pStyle w:val="Heading5"/>
      </w:pPr>
      <w:r>
        <w:lastRenderedPageBreak/>
        <w:t xml:space="preserve">3. </w:t>
      </w:r>
      <w:r w:rsidRPr="00A22482">
        <w:t>Applied Integration</w:t>
      </w:r>
    </w:p>
    <w:p w14:paraId="786CACB7" w14:textId="77777777" w:rsidR="006579C9" w:rsidRPr="00BE6069" w:rsidRDefault="006579C9" w:rsidP="001F1B51">
      <w:pPr>
        <w:pStyle w:val="BodyCopy"/>
      </w:pPr>
      <w:r w:rsidRPr="00BE6069">
        <w:t>At the applied integration level, individuals incorporate lived experience perspectives and cultural humility into planning processes, project structures, and decision-making activities. Individuals recognize patterns of exclusion and adapt practices to support more consistent inclusion.</w:t>
      </w:r>
    </w:p>
    <w:p w14:paraId="7C2ADD71" w14:textId="77777777" w:rsidR="006579C9" w:rsidRPr="00BE6069" w:rsidRDefault="006579C9" w:rsidP="001F1B51">
      <w:pPr>
        <w:pStyle w:val="BodyCopy"/>
      </w:pPr>
      <w:r w:rsidRPr="00BE6069">
        <w:t>Indicative practices include:</w:t>
      </w:r>
    </w:p>
    <w:p w14:paraId="137E26B9" w14:textId="77777777" w:rsidR="006579C9" w:rsidRPr="00BE6069" w:rsidRDefault="006579C9" w:rsidP="008E72B8">
      <w:pPr>
        <w:pStyle w:val="ListParagraph"/>
      </w:pPr>
      <w:r w:rsidRPr="00BE6069">
        <w:t xml:space="preserve">integrating lived experience input into project development processes </w:t>
      </w:r>
    </w:p>
    <w:p w14:paraId="69A0459F" w14:textId="77777777" w:rsidR="006579C9" w:rsidRPr="00BE6069" w:rsidRDefault="006579C9" w:rsidP="008E72B8">
      <w:pPr>
        <w:pStyle w:val="ListParagraph"/>
      </w:pPr>
      <w:r w:rsidRPr="00BE6069">
        <w:t xml:space="preserve">identifying when engagement approaches may be tokenistic </w:t>
      </w:r>
    </w:p>
    <w:p w14:paraId="449BCA5D" w14:textId="77777777" w:rsidR="006579C9" w:rsidRPr="00BE6069" w:rsidRDefault="006579C9" w:rsidP="008E72B8">
      <w:pPr>
        <w:pStyle w:val="ListParagraph"/>
      </w:pPr>
      <w:r w:rsidRPr="00BE6069">
        <w:t xml:space="preserve">supporting accessible participation formats </w:t>
      </w:r>
    </w:p>
    <w:p w14:paraId="27AF3751" w14:textId="77777777" w:rsidR="006579C9" w:rsidRPr="00BE6069" w:rsidRDefault="006579C9" w:rsidP="008E72B8">
      <w:pPr>
        <w:pStyle w:val="ListParagraph"/>
      </w:pPr>
      <w:r w:rsidRPr="00BE6069">
        <w:t xml:space="preserve">recognizing how organizational norms may influence participation </w:t>
      </w:r>
    </w:p>
    <w:p w14:paraId="07E9D6A0" w14:textId="77777777" w:rsidR="006579C9" w:rsidRPr="00BE6069" w:rsidRDefault="006579C9" w:rsidP="008E72B8">
      <w:pPr>
        <w:pStyle w:val="ListParagraph"/>
      </w:pPr>
      <w:r w:rsidRPr="00BE6069">
        <w:t xml:space="preserve">collaborating with accessibility specialists where appropriate </w:t>
      </w:r>
    </w:p>
    <w:p w14:paraId="30DB7472" w14:textId="77777777" w:rsidR="006579C9" w:rsidRPr="00BE6069" w:rsidRDefault="006579C9" w:rsidP="008E72B8">
      <w:pPr>
        <w:pStyle w:val="ListParagraph"/>
      </w:pPr>
      <w:r w:rsidRPr="00BE6069">
        <w:t xml:space="preserve">ensuring feedback informs decision outcomes </w:t>
      </w:r>
    </w:p>
    <w:p w14:paraId="6E0EF55B" w14:textId="77777777" w:rsidR="006579C9" w:rsidRPr="00A22482" w:rsidRDefault="006579C9" w:rsidP="008E72B8">
      <w:pPr>
        <w:pStyle w:val="ListParagraph"/>
      </w:pPr>
      <w:r w:rsidRPr="00BE6069">
        <w:t xml:space="preserve">supporting respectful dialogue across perspectives </w:t>
      </w:r>
    </w:p>
    <w:p w14:paraId="4EE789E3" w14:textId="77777777" w:rsidR="006579C9" w:rsidRPr="00A22482" w:rsidRDefault="006579C9" w:rsidP="001F1B51">
      <w:pPr>
        <w:pStyle w:val="Heading5"/>
      </w:pPr>
      <w:r>
        <w:t xml:space="preserve">4. </w:t>
      </w:r>
      <w:r w:rsidRPr="00A22482">
        <w:t>Strategic Leadership</w:t>
      </w:r>
    </w:p>
    <w:p w14:paraId="23A19D9D" w14:textId="77777777" w:rsidR="006579C9" w:rsidRPr="007239A1" w:rsidRDefault="006579C9" w:rsidP="001F1B51">
      <w:pPr>
        <w:pStyle w:val="BodyCopy"/>
      </w:pPr>
      <w:r w:rsidRPr="007239A1">
        <w:t>At the strategic leadership level, individuals influence organizational conditions supporting meaningful participation of people with lived experience of disability. Individuals support structures that enable reflexive practice, equitable collaboration, and sustained inclusion of lived experience expertise.</w:t>
      </w:r>
    </w:p>
    <w:p w14:paraId="0A2842D7" w14:textId="77777777" w:rsidR="006579C9" w:rsidRPr="007239A1" w:rsidRDefault="006579C9" w:rsidP="001F1B51">
      <w:pPr>
        <w:pStyle w:val="BodyCopy"/>
      </w:pPr>
      <w:r w:rsidRPr="007239A1">
        <w:t>Indicative practices include:</w:t>
      </w:r>
    </w:p>
    <w:p w14:paraId="4598EB6D" w14:textId="77777777" w:rsidR="006579C9" w:rsidRPr="007239A1" w:rsidRDefault="006579C9" w:rsidP="008E72B8">
      <w:pPr>
        <w:pStyle w:val="ListParagraph"/>
      </w:pPr>
      <w:r w:rsidRPr="007239A1">
        <w:t>supporting structures that enable participatory decision-making processes</w:t>
      </w:r>
    </w:p>
    <w:p w14:paraId="168C8CB7" w14:textId="77777777" w:rsidR="006579C9" w:rsidRPr="007239A1" w:rsidRDefault="006579C9" w:rsidP="008E72B8">
      <w:pPr>
        <w:pStyle w:val="ListParagraph"/>
      </w:pPr>
      <w:r w:rsidRPr="007239A1">
        <w:t>promoting recognition of lived experience as expertise</w:t>
      </w:r>
    </w:p>
    <w:p w14:paraId="28FF1356" w14:textId="77777777" w:rsidR="006579C9" w:rsidRPr="007239A1" w:rsidRDefault="006579C9" w:rsidP="008E72B8">
      <w:pPr>
        <w:pStyle w:val="ListParagraph"/>
      </w:pPr>
      <w:r>
        <w:t>enabling</w:t>
      </w:r>
      <w:r w:rsidRPr="007239A1">
        <w:t xml:space="preserve"> </w:t>
      </w:r>
      <w:r>
        <w:t>reciprocity and fairness</w:t>
      </w:r>
      <w:r w:rsidRPr="007239A1">
        <w:t xml:space="preserve"> for lived experience contributions</w:t>
      </w:r>
    </w:p>
    <w:p w14:paraId="5C958F53" w14:textId="77777777" w:rsidR="006579C9" w:rsidRPr="007239A1" w:rsidRDefault="006579C9" w:rsidP="008E72B8">
      <w:pPr>
        <w:pStyle w:val="ListParagraph"/>
      </w:pPr>
      <w:r w:rsidRPr="007239A1">
        <w:t>integrating co-design approaches into organizational processes</w:t>
      </w:r>
    </w:p>
    <w:p w14:paraId="70A84F1F" w14:textId="77777777" w:rsidR="006579C9" w:rsidRPr="007239A1" w:rsidRDefault="006579C9" w:rsidP="008E72B8">
      <w:pPr>
        <w:pStyle w:val="ListParagraph"/>
      </w:pPr>
      <w:r w:rsidRPr="007239A1">
        <w:t>aligning participation practices with organizational values</w:t>
      </w:r>
    </w:p>
    <w:p w14:paraId="03F04EA7" w14:textId="77777777" w:rsidR="006579C9" w:rsidRPr="007239A1" w:rsidRDefault="006579C9" w:rsidP="008E72B8">
      <w:pPr>
        <w:pStyle w:val="ListParagraph"/>
      </w:pPr>
      <w:r w:rsidRPr="007239A1">
        <w:t>promoting learning cultures that support reflexivity</w:t>
      </w:r>
    </w:p>
    <w:p w14:paraId="35060FD8" w14:textId="77777777" w:rsidR="006579C9" w:rsidRDefault="006579C9" w:rsidP="008E72B8">
      <w:pPr>
        <w:pStyle w:val="ListParagraph"/>
        <w:sectPr w:rsidR="006579C9" w:rsidSect="006579C9">
          <w:pgSz w:w="12240" w:h="15840"/>
          <w:pgMar w:top="1440" w:right="1440" w:bottom="1440" w:left="1440" w:header="720" w:footer="720" w:gutter="0"/>
          <w:cols w:space="720"/>
          <w:docGrid w:linePitch="360"/>
        </w:sectPr>
      </w:pPr>
      <w:r w:rsidRPr="007239A1">
        <w:lastRenderedPageBreak/>
        <w:t>evaluating quality of participation processes over tim</w:t>
      </w:r>
    </w:p>
    <w:p w14:paraId="449AADA1" w14:textId="157AFFE5" w:rsidR="006579C9" w:rsidRPr="00DC3AA1" w:rsidRDefault="006579C9" w:rsidP="001F1B51">
      <w:pPr>
        <w:pStyle w:val="Heading4"/>
      </w:pPr>
      <w:r w:rsidRPr="00DC3AA1">
        <w:lastRenderedPageBreak/>
        <w:t>Domain 2 – Born-Accessible Design</w:t>
      </w:r>
    </w:p>
    <w:p w14:paraId="7D03E35C" w14:textId="77777777" w:rsidR="006579C9" w:rsidRDefault="006579C9" w:rsidP="001F1B51">
      <w:pPr>
        <w:pStyle w:val="ListParagraph"/>
      </w:pPr>
      <w:r w:rsidRPr="00DC3AA1">
        <w:rPr>
          <w:b/>
          <w:bCs/>
        </w:rPr>
        <w:t>Focus of competency:</w:t>
      </w:r>
      <w:r w:rsidRPr="00DC3AA1">
        <w:t xml:space="preserve"> Proactive integration of accessibility considerations into planning, design, procurement, and decision-making processes through iterative learning and continuous improvement</w:t>
      </w:r>
    </w:p>
    <w:p w14:paraId="19363384" w14:textId="77777777" w:rsidR="006579C9" w:rsidRPr="00DC3AA1" w:rsidRDefault="006579C9" w:rsidP="001F1B51">
      <w:pPr>
        <w:pStyle w:val="ListParagraph"/>
      </w:pPr>
      <w:r w:rsidRPr="00DC3AA1">
        <w:rPr>
          <w:b/>
          <w:bCs/>
        </w:rPr>
        <w:t>Guiding question:</w:t>
      </w:r>
      <w:r w:rsidRPr="00DC3AA1">
        <w:t xml:space="preserve"> How do we design processes, systems, and environments that reduce the need for individuals to request access after barriers are created?</w:t>
      </w:r>
    </w:p>
    <w:p w14:paraId="4F63026E" w14:textId="77777777" w:rsidR="006579C9" w:rsidRPr="00DC3AA1" w:rsidRDefault="006579C9" w:rsidP="001F1B51">
      <w:pPr>
        <w:pStyle w:val="BodyCopy"/>
      </w:pPr>
      <w:r w:rsidRPr="00DC3AA1">
        <w:t xml:space="preserve">The concept of </w:t>
      </w:r>
      <w:r w:rsidRPr="006233F4">
        <w:t>“</w:t>
      </w:r>
      <w:r w:rsidRPr="00DC3AA1">
        <w:t>born-accessible</w:t>
      </w:r>
      <w:r w:rsidRPr="006233F4">
        <w:t>”</w:t>
      </w:r>
      <w:r w:rsidRPr="00DC3AA1">
        <w:t xml:space="preserve"> design reflects the understanding that accessibility is most effective when considered early in planning processes rather than addressed retroactively through remediation. Across the co-design process, participants consistently distinguished between reactive approaches to accessibility and proactive approaches that anticipate diverse participation needs. Participants described retroactive remediation as resource-intensive, inconsistent, and often less effective than incorporating accessibility considerations from the outset.</w:t>
      </w:r>
    </w:p>
    <w:p w14:paraId="246107A3" w14:textId="77777777" w:rsidR="006579C9" w:rsidRPr="00DC3AA1" w:rsidRDefault="006579C9" w:rsidP="001F1B51">
      <w:pPr>
        <w:pStyle w:val="BodyCopy"/>
      </w:pPr>
      <w:r w:rsidRPr="00DC3AA1">
        <w:t>Born-accessible design aligns with universal design principles emphasizing environments, systems, and services that can be used by the broadest range of people without requiring adaptation (Mace, 1998). Research in digital accessibility similarly demonstrates that integrating accessibility considerations early in development processes supports more consistent usability outcomes and reduces the need for reactive accommodation (Lazar et al., 2015).</w:t>
      </w:r>
    </w:p>
    <w:p w14:paraId="396EAB3E" w14:textId="77777777" w:rsidR="006579C9" w:rsidRPr="00DC3AA1" w:rsidRDefault="006579C9" w:rsidP="001F1B51">
      <w:pPr>
        <w:pStyle w:val="BodyCopy"/>
      </w:pPr>
      <w:r w:rsidRPr="00DC3AA1">
        <w:t xml:space="preserve">Within organizational contexts, born-accessible practice extends beyond technical product development. Planning decisions related to procurement processes, hiring workflows, communication structures, project timelines, meeting formats, technology selection, and service design may all influence accessibility outcomes. Co-design participants identified that accessibility </w:t>
      </w:r>
      <w:r w:rsidRPr="00DC3AA1">
        <w:lastRenderedPageBreak/>
        <w:t>barriers often emerge when accessibility is positioned as a downstream responsibility rather than as a shared planning consideration.</w:t>
      </w:r>
    </w:p>
    <w:p w14:paraId="65AC37BF" w14:textId="77777777" w:rsidR="006579C9" w:rsidRPr="00DC3AA1" w:rsidRDefault="006579C9" w:rsidP="001F1B51">
      <w:pPr>
        <w:pStyle w:val="BodyCopy"/>
      </w:pPr>
      <w:r w:rsidRPr="00DC3AA1">
        <w:t>Born-accessible design does not assume that accessibility can be fully anticipated in advance. Rather, accessibility capability develops through iterative cycles of planning, implementation, evaluation, and improvement. Similar to continuous improvement models used in quality assurance and product development, accessibility considerations may evolve as systems, environments, technologies, and organizational knowledge change over time. Co-design participants emphasized that competency development includes the ability to identify barriers, respond constructively when barriers emerge, and integrate lessons learned into future planning processes.</w:t>
      </w:r>
    </w:p>
    <w:p w14:paraId="1AE38C81" w14:textId="77777777" w:rsidR="006579C9" w:rsidRPr="00DC3AA1" w:rsidRDefault="006579C9" w:rsidP="001F1B51">
      <w:pPr>
        <w:pStyle w:val="BodyCopy"/>
      </w:pPr>
      <w:r w:rsidRPr="00DC3AA1">
        <w:t>Within this perspective, remediation is understood as part of an ongoing learning process rather than as evidence of failure. Early-stage competency may involve recognizing when accessibility considerations are relevant. As organizational capability develops, teams may increasingly anticipate accessibility needs, integrate accessibility evaluation into development cycles, and respond more effectively when barriers are identified.</w:t>
      </w:r>
    </w:p>
    <w:p w14:paraId="2691FCD8" w14:textId="77777777" w:rsidR="006579C9" w:rsidRPr="00DC3AA1" w:rsidRDefault="006579C9" w:rsidP="001F1B51">
      <w:pPr>
        <w:pStyle w:val="BodyCopy"/>
      </w:pPr>
      <w:r w:rsidRPr="00DC3AA1">
        <w:t>Understanding born-accessible practice as iterative supports alignment with continuous improvement approaches commonly used in organizational governance, product development lifecycles, policy implementation, procurement evaluation, and service delivery design. Accessibility capability may therefore be understood as developing progressively through cycles of learning, implementation, reflection, and refinement.</w:t>
      </w:r>
    </w:p>
    <w:p w14:paraId="499DA4FD" w14:textId="77777777" w:rsidR="006579C9" w:rsidRPr="00DC3AA1" w:rsidRDefault="006579C9" w:rsidP="001F1B51">
      <w:pPr>
        <w:pStyle w:val="BodyCopy"/>
      </w:pPr>
      <w:r w:rsidRPr="00DC3AA1">
        <w:t xml:space="preserve">Procurement practices play a particularly significant role in born-accessible implementation. Purchasing decisions related to enterprise software, workplace tools, communication platforms, built environments, and service providers may shape accessibility conditions across entire organizations (CNIB, 2023b). Integrating accessibility criteria into procurement processes </w:t>
      </w:r>
      <w:r w:rsidRPr="00DC3AA1">
        <w:lastRenderedPageBreak/>
        <w:t>may therefore function as a structural accessibility intervention that influences accessibility beyond individual projects.</w:t>
      </w:r>
    </w:p>
    <w:p w14:paraId="3FCF526E" w14:textId="77777777" w:rsidR="006579C9" w:rsidRPr="00DC3AA1" w:rsidRDefault="006579C9" w:rsidP="001F1B51">
      <w:pPr>
        <w:pStyle w:val="BodyCopy"/>
      </w:pPr>
      <w:r w:rsidRPr="00DC3AA1">
        <w:t>Within hybrid work environments, anticipatory accessibility considerations may include meeting platforms, document workflows, scheduling practices, information-sharing processes, and digital collaboration tools. Anticipatory planning supports more consistent participation conditions and reduces reliance on last-minute adjustments.</w:t>
      </w:r>
    </w:p>
    <w:p w14:paraId="0F9A1B9B" w14:textId="77777777" w:rsidR="006579C9" w:rsidRPr="00DC3AA1" w:rsidRDefault="006579C9" w:rsidP="001F1B51">
      <w:pPr>
        <w:pStyle w:val="BodyCopy"/>
      </w:pPr>
      <w:r w:rsidRPr="00DC3AA1">
        <w:t>Born-accessible design does not eliminate the need for accommodations. Rather, it supports environments in which fewer barriers are introduced through routine organizational decisions. Co-design participants emphasized that proactive design approaches may reduce administrative burden and support by minimizing the need for individuals to repeatedly request access adjustments.</w:t>
      </w:r>
    </w:p>
    <w:p w14:paraId="2621D463" w14:textId="77777777" w:rsidR="006579C9" w:rsidRPr="00DC3AA1" w:rsidRDefault="006579C9" w:rsidP="001F1B51">
      <w:pPr>
        <w:pStyle w:val="Heading5"/>
      </w:pPr>
      <w:r>
        <w:t xml:space="preserve">1. </w:t>
      </w:r>
      <w:r w:rsidRPr="00DC3AA1">
        <w:t>Foundational Awareness</w:t>
      </w:r>
    </w:p>
    <w:p w14:paraId="7ADDB3F3" w14:textId="77777777" w:rsidR="006579C9" w:rsidRPr="00DC3AA1" w:rsidRDefault="006579C9" w:rsidP="001F1B51">
      <w:pPr>
        <w:pStyle w:val="BodyCopy"/>
      </w:pPr>
      <w:r w:rsidRPr="00DC3AA1">
        <w:t>At the foundational level, individuals recognize that decisions made early in planning processes may influence accessibility outcomes. Individuals understand that accessibility can often be more effectively integrated when considered at the outset rather than retrofitted after barriers emerge.</w:t>
      </w:r>
    </w:p>
    <w:p w14:paraId="264D7740" w14:textId="77777777" w:rsidR="006579C9" w:rsidRPr="00DC3AA1" w:rsidRDefault="006579C9" w:rsidP="001F1B51">
      <w:pPr>
        <w:pStyle w:val="BodyCopy"/>
      </w:pPr>
      <w:r w:rsidRPr="00DC3AA1">
        <w:t>Indicative practices include:</w:t>
      </w:r>
    </w:p>
    <w:p w14:paraId="04E4A367" w14:textId="77777777" w:rsidR="006579C9" w:rsidRPr="00DC3AA1" w:rsidRDefault="006579C9" w:rsidP="008E72B8">
      <w:pPr>
        <w:pStyle w:val="ListParagraph"/>
      </w:pPr>
      <w:r w:rsidRPr="00DC3AA1">
        <w:t xml:space="preserve">recognizing that accessibility can be considered during planning stages </w:t>
      </w:r>
    </w:p>
    <w:p w14:paraId="525D4F07" w14:textId="77777777" w:rsidR="006579C9" w:rsidRPr="00DC3AA1" w:rsidRDefault="006579C9" w:rsidP="008E72B8">
      <w:pPr>
        <w:pStyle w:val="ListParagraph"/>
      </w:pPr>
      <w:r w:rsidRPr="00DC3AA1">
        <w:t xml:space="preserve">understanding that design decisions influence participation conditions </w:t>
      </w:r>
    </w:p>
    <w:p w14:paraId="60ADAA9D" w14:textId="77777777" w:rsidR="006579C9" w:rsidRPr="00DC3AA1" w:rsidRDefault="006579C9" w:rsidP="008E72B8">
      <w:pPr>
        <w:pStyle w:val="ListParagraph"/>
      </w:pPr>
      <w:r w:rsidRPr="00DC3AA1">
        <w:t>recognizing that retroactive remediation create</w:t>
      </w:r>
      <w:r>
        <w:t>s</w:t>
      </w:r>
      <w:r w:rsidRPr="00DC3AA1">
        <w:t xml:space="preserve"> additional work</w:t>
      </w:r>
    </w:p>
    <w:p w14:paraId="01773888" w14:textId="77777777" w:rsidR="006579C9" w:rsidRPr="00DC3AA1" w:rsidRDefault="006579C9" w:rsidP="008E72B8">
      <w:pPr>
        <w:pStyle w:val="ListParagraph"/>
      </w:pPr>
      <w:r w:rsidRPr="00DC3AA1">
        <w:t>understanding that accessibility considerations may apply across processes, tools, and environments</w:t>
      </w:r>
    </w:p>
    <w:p w14:paraId="55C077AC" w14:textId="77777777" w:rsidR="006579C9" w:rsidRPr="00DC3AA1" w:rsidRDefault="006579C9" w:rsidP="008E72B8">
      <w:pPr>
        <w:pStyle w:val="ListParagraph"/>
      </w:pPr>
      <w:r w:rsidRPr="00DC3AA1">
        <w:t xml:space="preserve">recognizing when accessibility expertise may be needed </w:t>
      </w:r>
    </w:p>
    <w:p w14:paraId="53BBD927" w14:textId="77777777" w:rsidR="006579C9" w:rsidRPr="00DC3AA1" w:rsidRDefault="006579C9" w:rsidP="008E72B8">
      <w:pPr>
        <w:pStyle w:val="ListParagraph"/>
      </w:pPr>
      <w:r w:rsidRPr="00DC3AA1">
        <w:t>recognizing that planning decisions may affect different disability experiences</w:t>
      </w:r>
    </w:p>
    <w:p w14:paraId="68868009" w14:textId="77777777" w:rsidR="006579C9" w:rsidRPr="00DC3AA1" w:rsidRDefault="006579C9" w:rsidP="001F1B51">
      <w:pPr>
        <w:pStyle w:val="Heading5"/>
      </w:pPr>
      <w:r>
        <w:lastRenderedPageBreak/>
        <w:t xml:space="preserve">2. </w:t>
      </w:r>
      <w:r w:rsidRPr="00DC3AA1">
        <w:t>Working Practice</w:t>
      </w:r>
    </w:p>
    <w:p w14:paraId="0AEAD56E" w14:textId="77777777" w:rsidR="006579C9" w:rsidRPr="00DC3AA1" w:rsidRDefault="006579C9" w:rsidP="001F1B51">
      <w:pPr>
        <w:pStyle w:val="BodyCopy"/>
      </w:pPr>
      <w:r w:rsidRPr="00DC3AA1">
        <w:t>At the working practice level, individuals incorporate accessibility considerations into routine planning and decision-making activities within the scope of their role. Individuals recognize when choices related to tools, formats, timelines, environments, or workflows may influence accessibility outcomes.</w:t>
      </w:r>
    </w:p>
    <w:p w14:paraId="6E0A8F9C" w14:textId="77777777" w:rsidR="006579C9" w:rsidRPr="00DC3AA1" w:rsidRDefault="006579C9" w:rsidP="001F1B51">
      <w:pPr>
        <w:pStyle w:val="BodyCopy"/>
      </w:pPr>
      <w:r w:rsidRPr="00DC3AA1">
        <w:t>Indicative practices include:</w:t>
      </w:r>
    </w:p>
    <w:p w14:paraId="26344BC9" w14:textId="77777777" w:rsidR="006579C9" w:rsidRPr="00DC3AA1" w:rsidRDefault="006579C9" w:rsidP="008E72B8">
      <w:pPr>
        <w:pStyle w:val="ListParagraph"/>
      </w:pPr>
      <w:r w:rsidRPr="00DC3AA1">
        <w:t>considering accessibility when selecting tools or systems</w:t>
      </w:r>
    </w:p>
    <w:p w14:paraId="3F4C1817" w14:textId="77777777" w:rsidR="006579C9" w:rsidRPr="00DC3AA1" w:rsidRDefault="006579C9" w:rsidP="008E72B8">
      <w:pPr>
        <w:pStyle w:val="ListParagraph"/>
      </w:pPr>
      <w:r w:rsidRPr="00DC3AA1">
        <w:t xml:space="preserve">allowing time for accessibility review when planning activities (e.g., communications timelines, learning materials, project deliverables) </w:t>
      </w:r>
    </w:p>
    <w:p w14:paraId="6544FB6D" w14:textId="77777777" w:rsidR="006579C9" w:rsidRPr="00DC3AA1" w:rsidRDefault="006579C9" w:rsidP="008E72B8">
      <w:pPr>
        <w:pStyle w:val="ListParagraph"/>
      </w:pPr>
      <w:r w:rsidRPr="00DC3AA1">
        <w:t xml:space="preserve">selecting meeting or engagement formats that support participation (e.g., hybrid participation options) </w:t>
      </w:r>
    </w:p>
    <w:p w14:paraId="226E72F8" w14:textId="77777777" w:rsidR="006579C9" w:rsidRPr="00DC3AA1" w:rsidRDefault="006579C9" w:rsidP="008E72B8">
      <w:pPr>
        <w:pStyle w:val="ListParagraph"/>
      </w:pPr>
      <w:r w:rsidRPr="00DC3AA1">
        <w:t xml:space="preserve">considering accessibility when sharing documents or information (e.g., templates, presentation materials) </w:t>
      </w:r>
    </w:p>
    <w:p w14:paraId="023D5CEE" w14:textId="77777777" w:rsidR="006579C9" w:rsidRPr="00DC3AA1" w:rsidRDefault="006579C9" w:rsidP="008E72B8">
      <w:pPr>
        <w:pStyle w:val="ListParagraph"/>
      </w:pPr>
      <w:r w:rsidRPr="00DC3AA1">
        <w:t xml:space="preserve">recognizing how timelines influence accessibility implementation </w:t>
      </w:r>
    </w:p>
    <w:p w14:paraId="0722B8DB" w14:textId="77777777" w:rsidR="006579C9" w:rsidRPr="00DC3AA1" w:rsidRDefault="006579C9" w:rsidP="008E72B8">
      <w:pPr>
        <w:pStyle w:val="ListParagraph"/>
      </w:pPr>
      <w:r w:rsidRPr="00DC3AA1">
        <w:t xml:space="preserve">identifying when accessibility barriers may require remediation </w:t>
      </w:r>
    </w:p>
    <w:p w14:paraId="5A1A6B59" w14:textId="77777777" w:rsidR="006579C9" w:rsidRPr="00DC3AA1" w:rsidRDefault="006579C9" w:rsidP="008E72B8">
      <w:pPr>
        <w:pStyle w:val="ListParagraph"/>
      </w:pPr>
      <w:r w:rsidRPr="00DC3AA1">
        <w:t xml:space="preserve">recognizing when specialist expertise may be required </w:t>
      </w:r>
    </w:p>
    <w:p w14:paraId="4295123C" w14:textId="77777777" w:rsidR="006579C9" w:rsidRPr="00DC3AA1" w:rsidRDefault="006579C9" w:rsidP="001F1B51">
      <w:pPr>
        <w:pStyle w:val="Heading5"/>
      </w:pPr>
      <w:r>
        <w:t xml:space="preserve">3. </w:t>
      </w:r>
      <w:r w:rsidRPr="00DC3AA1">
        <w:t>Applied Integration</w:t>
      </w:r>
    </w:p>
    <w:p w14:paraId="6BE95B57" w14:textId="77777777" w:rsidR="006579C9" w:rsidRPr="00DC3AA1" w:rsidRDefault="006579C9" w:rsidP="001F1B51">
      <w:pPr>
        <w:pStyle w:val="BodyCopy"/>
      </w:pPr>
      <w:r w:rsidRPr="00DC3AA1">
        <w:t>At the applied integration level, individuals integrate accessibility considerations into planning structures, workflows, and decision-making processes across projects or teams. Individuals identify patterns where accessibility may be overlooked and adjust planning approaches accordingly.</w:t>
      </w:r>
    </w:p>
    <w:p w14:paraId="726206BF" w14:textId="77777777" w:rsidR="006579C9" w:rsidRPr="00DC3AA1" w:rsidRDefault="006579C9" w:rsidP="001F1B51">
      <w:pPr>
        <w:pStyle w:val="BodyCopy"/>
      </w:pPr>
      <w:r w:rsidRPr="00DC3AA1">
        <w:t>Indicative practices include:</w:t>
      </w:r>
    </w:p>
    <w:p w14:paraId="35A9CE30" w14:textId="77777777" w:rsidR="006579C9" w:rsidRPr="00DC3AA1" w:rsidRDefault="006579C9" w:rsidP="008E72B8">
      <w:pPr>
        <w:pStyle w:val="ListParagraph"/>
      </w:pPr>
      <w:r w:rsidRPr="00DC3AA1">
        <w:t xml:space="preserve">incorporating accessibility criteria into project planning processes (e.g., </w:t>
      </w:r>
      <w:r>
        <w:t xml:space="preserve">funding proposals, </w:t>
      </w:r>
      <w:r w:rsidRPr="00DC3AA1">
        <w:t>research design, program development, service delivery models)</w:t>
      </w:r>
    </w:p>
    <w:p w14:paraId="4E57EA91" w14:textId="77777777" w:rsidR="006579C9" w:rsidRPr="00DC3AA1" w:rsidRDefault="006579C9" w:rsidP="008E72B8">
      <w:pPr>
        <w:pStyle w:val="ListParagraph"/>
      </w:pPr>
      <w:r w:rsidRPr="00DC3AA1">
        <w:lastRenderedPageBreak/>
        <w:t xml:space="preserve">identifying structural barriers that </w:t>
      </w:r>
      <w:r>
        <w:t>affect</w:t>
      </w:r>
      <w:r w:rsidRPr="00DC3AA1">
        <w:t xml:space="preserve"> accessibility</w:t>
      </w:r>
    </w:p>
    <w:p w14:paraId="1DCEA26E" w14:textId="77777777" w:rsidR="006579C9" w:rsidRPr="00DC3AA1" w:rsidRDefault="006579C9" w:rsidP="008E72B8">
      <w:pPr>
        <w:pStyle w:val="ListParagraph"/>
      </w:pPr>
      <w:r>
        <w:t xml:space="preserve">timely </w:t>
      </w:r>
      <w:r w:rsidRPr="00DC3AA1">
        <w:t>collaborating with accessibility specialists when developing plans or selecting tools</w:t>
      </w:r>
    </w:p>
    <w:p w14:paraId="1B3A2311" w14:textId="77777777" w:rsidR="006579C9" w:rsidRPr="00DC3AA1" w:rsidRDefault="006579C9" w:rsidP="008E72B8">
      <w:pPr>
        <w:pStyle w:val="ListParagraph"/>
      </w:pPr>
      <w:r w:rsidRPr="00DC3AA1">
        <w:t>considering accessibility in procurement or vendor selection processes (e.g., digital platforms, workplace technologies)</w:t>
      </w:r>
    </w:p>
    <w:p w14:paraId="205FF322" w14:textId="77777777" w:rsidR="006579C9" w:rsidRPr="00DC3AA1" w:rsidRDefault="006579C9" w:rsidP="008E72B8">
      <w:pPr>
        <w:pStyle w:val="ListParagraph"/>
      </w:pPr>
      <w:r w:rsidRPr="00DC3AA1">
        <w:t>integrating accessibility review and remediation checkpoints into workflows</w:t>
      </w:r>
    </w:p>
    <w:p w14:paraId="1BFF1C6C" w14:textId="77777777" w:rsidR="006579C9" w:rsidRPr="00DC3AA1" w:rsidRDefault="006579C9" w:rsidP="008E72B8">
      <w:pPr>
        <w:pStyle w:val="ListParagraph"/>
      </w:pPr>
      <w:r w:rsidRPr="00DC3AA1">
        <w:t>supporting planning processes that anticipate diverse user needs</w:t>
      </w:r>
    </w:p>
    <w:p w14:paraId="24F21023" w14:textId="77777777" w:rsidR="006579C9" w:rsidRPr="00DC3AA1" w:rsidRDefault="006579C9" w:rsidP="008E72B8">
      <w:pPr>
        <w:pStyle w:val="ListParagraph"/>
      </w:pPr>
      <w:r w:rsidRPr="00DC3AA1">
        <w:t>identifying dependencies between accessibility considerations across teams or functions</w:t>
      </w:r>
    </w:p>
    <w:p w14:paraId="7561CB54" w14:textId="77777777" w:rsidR="006579C9" w:rsidRPr="001F1B51" w:rsidRDefault="006579C9" w:rsidP="001F1B51">
      <w:pPr>
        <w:pStyle w:val="Heading5"/>
        <w:rPr>
          <w:rStyle w:val="Emphasis"/>
        </w:rPr>
      </w:pPr>
      <w:r w:rsidRPr="001F1B51">
        <w:rPr>
          <w:rStyle w:val="Emphasis"/>
        </w:rPr>
        <w:t>4. Strategic Leadership</w:t>
      </w:r>
    </w:p>
    <w:p w14:paraId="43C253B2" w14:textId="77777777" w:rsidR="006579C9" w:rsidRPr="00DC3AA1" w:rsidRDefault="006579C9" w:rsidP="001F1B51">
      <w:pPr>
        <w:pStyle w:val="BodyCopy"/>
      </w:pPr>
      <w:r w:rsidRPr="00DC3AA1">
        <w:t>At the strategic leadership level, individuals influence organizational planning structures that support consistent integration of accessibility considerations across teams or departments. Individuals contribute to governance mechanisms that enable proactive accessibility practices across organizational systems.</w:t>
      </w:r>
    </w:p>
    <w:p w14:paraId="1111A903" w14:textId="77777777" w:rsidR="006579C9" w:rsidRPr="00DC3AA1" w:rsidRDefault="006579C9" w:rsidP="001F1B51">
      <w:pPr>
        <w:pStyle w:val="BodyCopy"/>
      </w:pPr>
      <w:r w:rsidRPr="00DC3AA1">
        <w:t>Indicative practices include:</w:t>
      </w:r>
    </w:p>
    <w:p w14:paraId="6D8D874B" w14:textId="77777777" w:rsidR="006579C9" w:rsidRPr="00DC3AA1" w:rsidRDefault="006579C9" w:rsidP="008E72B8">
      <w:pPr>
        <w:pStyle w:val="ListParagraph"/>
      </w:pPr>
      <w:r w:rsidRPr="00DC3AA1">
        <w:t>supporting integration of accessibility criteria into organizational</w:t>
      </w:r>
      <w:r>
        <w:t xml:space="preserve"> systems and</w:t>
      </w:r>
      <w:r w:rsidRPr="00DC3AA1">
        <w:t xml:space="preserve"> policies</w:t>
      </w:r>
    </w:p>
    <w:p w14:paraId="698C32B8" w14:textId="77777777" w:rsidR="006579C9" w:rsidRPr="00DC3AA1" w:rsidRDefault="006579C9" w:rsidP="008E72B8">
      <w:pPr>
        <w:pStyle w:val="ListParagraph"/>
      </w:pPr>
      <w:r w:rsidRPr="00DC3AA1">
        <w:t>promoting planning frameworks that incorporate accessibility considerations across functions</w:t>
      </w:r>
    </w:p>
    <w:p w14:paraId="42829B07" w14:textId="77777777" w:rsidR="006579C9" w:rsidRPr="00DC3AA1" w:rsidRDefault="006579C9" w:rsidP="008E72B8">
      <w:pPr>
        <w:pStyle w:val="ListParagraph"/>
      </w:pPr>
      <w:r w:rsidRPr="00DC3AA1">
        <w:t>aligning resource allocation with accessibility priorities</w:t>
      </w:r>
    </w:p>
    <w:p w14:paraId="278241BF" w14:textId="77777777" w:rsidR="006579C9" w:rsidRPr="00DC3AA1" w:rsidRDefault="006579C9" w:rsidP="008E72B8">
      <w:pPr>
        <w:pStyle w:val="ListParagraph"/>
      </w:pPr>
      <w:r w:rsidRPr="00DC3AA1">
        <w:t>supporting development of policies that encourage proactive accessibility practices</w:t>
      </w:r>
    </w:p>
    <w:p w14:paraId="4B210CEF" w14:textId="77777777" w:rsidR="006579C9" w:rsidRPr="00DC3AA1" w:rsidRDefault="006579C9" w:rsidP="008E72B8">
      <w:pPr>
        <w:pStyle w:val="ListParagraph"/>
      </w:pPr>
      <w:r w:rsidRPr="00DC3AA1">
        <w:t>ensuring accessibility considerations are included in organizational decision-making structures</w:t>
      </w:r>
    </w:p>
    <w:p w14:paraId="4DFA10C7" w14:textId="77777777" w:rsidR="006579C9" w:rsidRPr="00DC3AA1" w:rsidRDefault="006579C9" w:rsidP="008E72B8">
      <w:pPr>
        <w:pStyle w:val="ListParagraph"/>
      </w:pPr>
      <w:r w:rsidRPr="00DC3AA1">
        <w:t>supporting continuous improvement approaches that integrate accessibility learning into future planning cycles</w:t>
      </w:r>
    </w:p>
    <w:p w14:paraId="0D6287F9" w14:textId="77777777" w:rsidR="006579C9" w:rsidRDefault="006579C9" w:rsidP="008E72B8">
      <w:pPr>
        <w:pStyle w:val="ListParagraph"/>
      </w:pPr>
      <w:r w:rsidRPr="00DC3AA1">
        <w:lastRenderedPageBreak/>
        <w:t>promoting alignment between accessibility objectives and organizational strategy</w:t>
      </w:r>
    </w:p>
    <w:p w14:paraId="18072198" w14:textId="77777777" w:rsidR="006579C9" w:rsidRDefault="006579C9" w:rsidP="006579C9">
      <w:pPr>
        <w:pStyle w:val="Heading4"/>
        <w:sectPr w:rsidR="006579C9" w:rsidSect="006579C9">
          <w:pgSz w:w="12240" w:h="15840"/>
          <w:pgMar w:top="1440" w:right="1440" w:bottom="1440" w:left="1440" w:header="720" w:footer="720" w:gutter="0"/>
          <w:cols w:space="720"/>
          <w:docGrid w:linePitch="360"/>
        </w:sectPr>
      </w:pPr>
    </w:p>
    <w:p w14:paraId="64A0784B" w14:textId="631F81AE" w:rsidR="006579C9" w:rsidRPr="007069B0" w:rsidRDefault="006579C9" w:rsidP="001F1B51">
      <w:pPr>
        <w:pStyle w:val="Heading4"/>
        <w:rPr>
          <w:lang w:val="fr-CA"/>
        </w:rPr>
      </w:pPr>
      <w:r w:rsidRPr="007069B0">
        <w:rPr>
          <w:lang w:val="fr-CA"/>
        </w:rPr>
        <w:lastRenderedPageBreak/>
        <w:t>Domain 3 – Inclusive Communication, Engagement, and Participation Environments</w:t>
      </w:r>
    </w:p>
    <w:p w14:paraId="7B33B84C" w14:textId="77777777" w:rsidR="006579C9" w:rsidRDefault="006579C9" w:rsidP="001F1B51">
      <w:pPr>
        <w:pStyle w:val="ListParagraph"/>
      </w:pPr>
      <w:r w:rsidRPr="00847F4A">
        <w:rPr>
          <w:b/>
          <w:bCs/>
        </w:rPr>
        <w:t>Focus of competency:</w:t>
      </w:r>
      <w:r w:rsidRPr="00847F4A">
        <w:t xml:space="preserve"> Conditions supporting equitable participation across physical, digital, and hybrid contexts</w:t>
      </w:r>
    </w:p>
    <w:p w14:paraId="0A3240C3" w14:textId="77777777" w:rsidR="006579C9" w:rsidRPr="00847F4A" w:rsidRDefault="006579C9" w:rsidP="001F1B51">
      <w:pPr>
        <w:pStyle w:val="ListParagraph"/>
      </w:pPr>
      <w:r w:rsidRPr="00847F4A">
        <w:rPr>
          <w:b/>
          <w:bCs/>
        </w:rPr>
        <w:t>Guiding question:</w:t>
      </w:r>
      <w:r w:rsidRPr="00847F4A">
        <w:t xml:space="preserve"> How do we create conditions that support equitable participation across diverse ways of communicating, sensing, and interacting?</w:t>
      </w:r>
    </w:p>
    <w:p w14:paraId="44EB23C6" w14:textId="77777777" w:rsidR="006579C9" w:rsidRDefault="006579C9" w:rsidP="001F1B51">
      <w:pPr>
        <w:pStyle w:val="BodyCopy"/>
      </w:pPr>
      <w:r>
        <w:t>Communication and participation environments function as core accessibility infrastructure within organizational contexts. Across the co-design process, participants emphasized that accessibility is shaped not only by technical systems but also by everyday interaction practices, communication formats, facilitation approaches, and environmental conditions influencing how individuals engage with information and decision-making processes.</w:t>
      </w:r>
    </w:p>
    <w:p w14:paraId="0BC83FD8" w14:textId="77777777" w:rsidR="006579C9" w:rsidRDefault="006579C9" w:rsidP="001F1B51">
      <w:pPr>
        <w:pStyle w:val="BodyCopy"/>
      </w:pPr>
      <w:r>
        <w:t>Inclusive communication extends beyond plain language or document formatting. It includes the ways information is structured, shared, discussed, and interpreted across organizational settings. Participation environments include both formal and informal spaces in which individuals interact, collaborate, and contribute knowledge. Communication practices influence whether individuals can meaningfully engage in workplace processes, research activities, hiring processes, meetings, training environments, consultations, and collaborative decision-making.</w:t>
      </w:r>
    </w:p>
    <w:p w14:paraId="1C45FDF0" w14:textId="77777777" w:rsidR="006579C9" w:rsidRDefault="006579C9" w:rsidP="001F1B51">
      <w:pPr>
        <w:pStyle w:val="BodyCopy"/>
      </w:pPr>
      <w:r>
        <w:t>Research examining accessible conferences and meetings demonstrates that participation is influenced by multiple interacting conditions, including captioning availability, interpretation services, accessible materials, physical navigation conditions, facilitation practices, and expectations regarding communication timing (Barrows et al., 2021).</w:t>
      </w:r>
    </w:p>
    <w:p w14:paraId="442BAA11" w14:textId="77777777" w:rsidR="006579C9" w:rsidRDefault="006579C9" w:rsidP="001F1B51">
      <w:pPr>
        <w:pStyle w:val="BodyCopy"/>
      </w:pPr>
      <w:r>
        <w:lastRenderedPageBreak/>
        <w:t>Built environment considerations also influence participation conditions. Physical meeting spaces, navigation pathways, lighting conditions, acoustics, seating configurations, and spatial layouts may affect how individuals engage in discussions and activities. Hybrid environments introduce additional considerations related to technology-mediated participation, including audio clarity, visibility of speakers, captioning availability, and facilitation practices that support equitable participation between in-person and remote participants.</w:t>
      </w:r>
    </w:p>
    <w:p w14:paraId="5A282BC3" w14:textId="77777777" w:rsidR="006579C9" w:rsidRDefault="006579C9" w:rsidP="001F1B51">
      <w:pPr>
        <w:pStyle w:val="BodyCopy"/>
      </w:pPr>
      <w:r>
        <w:t>Co-design participants emphasized that communication accessibility is not solely technical competency, but a shared organizational practice shaped by expectations regarding clarity, structure, responsiveness, and inclusion. Communication practices may influence whether individuals are able to interpret information, orient themselves within conversations, and contribute perspectives in ways that are recognized as legitimate.</w:t>
      </w:r>
    </w:p>
    <w:p w14:paraId="5223ACA8" w14:textId="77777777" w:rsidR="006579C9" w:rsidRDefault="006579C9" w:rsidP="001F1B51">
      <w:pPr>
        <w:pStyle w:val="BodyCopy"/>
      </w:pPr>
      <w:r>
        <w:t>Inclusive participation environments also involve awareness of disability etiquette as part of everyday communication practice. Disability etiquette refers to interaction approaches that support clarity, predictability, and mutual understanding across diverse communication needs. Small interaction practices may significantly influence participation conditions, particularly in group discussions or hybrid environments.</w:t>
      </w:r>
    </w:p>
    <w:p w14:paraId="3DA39A8C" w14:textId="77777777" w:rsidR="006579C9" w:rsidRDefault="006579C9" w:rsidP="001F1B51">
      <w:pPr>
        <w:pStyle w:val="BodyCopy"/>
      </w:pPr>
      <w:r>
        <w:t>For example, identifying oneself before speaking in meetings or virtual calls may support participants who are blind, low vision, or Deafblind in orienting themselves to the discussion. Verbally signaling transitions between speakers may support interpretation processes and reduce conversational ambiguity. Briefly describing relevant visual content when it is necessary for shared understanding may support equitable participation when visual materials are referenced.</w:t>
      </w:r>
    </w:p>
    <w:p w14:paraId="486CCDD1" w14:textId="77777777" w:rsidR="006579C9" w:rsidRDefault="006579C9" w:rsidP="001F1B51">
      <w:pPr>
        <w:pStyle w:val="BodyCopy"/>
      </w:pPr>
      <w:r>
        <w:t xml:space="preserve">Individuals who are Deaf, Deafblind, or hard of hearing may rely on interpretation (e.g., ASL) or captioning, while individuals with non-visible disabilities may benefit from communication practices that provide </w:t>
      </w:r>
      <w:r>
        <w:lastRenderedPageBreak/>
        <w:t>structure, clarity, and reduced ambiguity. These practices support participation conditions without requiring individuals to repeatedly request clarification or disclose disability status.</w:t>
      </w:r>
    </w:p>
    <w:p w14:paraId="1120A66B" w14:textId="77777777" w:rsidR="006579C9" w:rsidRDefault="006579C9" w:rsidP="001F1B51">
      <w:pPr>
        <w:pStyle w:val="BodyCopy"/>
      </w:pPr>
      <w:r>
        <w:t>Disability etiquette is not intended to function as a fixed set of behavioural rules. Preferences vary across individuals and contexts. Rather, etiquette competency reflects awareness that communication practices influence accessibility and a willingness to adapt interaction approaches when needed. These practices align with broader principles of cultural humility described in Domain 1 and support participation across diverse organizational contexts.</w:t>
      </w:r>
    </w:p>
    <w:p w14:paraId="2C9D0208" w14:textId="77777777" w:rsidR="006579C9" w:rsidRDefault="006579C9" w:rsidP="001F1B51">
      <w:pPr>
        <w:pStyle w:val="BodyCopy"/>
      </w:pPr>
      <w:r>
        <w:t>Participation accessibility may also be influenced by cognitive load, including the clarity, structure, pacing, and predictability of communication processes. Clear agendas, structured facilitation practices, and transparent expectations may support participation across diverse cognitive and sensory preferences (IAAP, 2023).</w:t>
      </w:r>
    </w:p>
    <w:p w14:paraId="1E63B85D" w14:textId="77777777" w:rsidR="006579C9" w:rsidRDefault="006579C9" w:rsidP="001F1B51">
      <w:pPr>
        <w:pStyle w:val="BodyCopy"/>
      </w:pPr>
      <w:r>
        <w:t>Inclusive communication competency therefore involves awareness of how information design, facilitation practices, interaction norms, and environmental conditions shape participation opportunities across organizational environments.</w:t>
      </w:r>
    </w:p>
    <w:p w14:paraId="72A477E3" w14:textId="77777777" w:rsidR="006579C9" w:rsidRDefault="006579C9" w:rsidP="001F1B51">
      <w:pPr>
        <w:pStyle w:val="BodyCopy"/>
      </w:pPr>
      <w:r>
        <w:t>Importantly, this domain does not assume that all roles are responsible for providing accessibility services such as captioning or interpretation. Rather, competency reflects awareness of how communication practices and participation environments influence accessibility outcomes and when collaboration with accessibility specialists or service providers may be appropriate.</w:t>
      </w:r>
    </w:p>
    <w:p w14:paraId="2A9830D5" w14:textId="77777777" w:rsidR="006579C9" w:rsidRDefault="006579C9" w:rsidP="001F1B51">
      <w:pPr>
        <w:pStyle w:val="BodyCopy"/>
      </w:pPr>
      <w:r>
        <w:t>Inclusive communication practices support participation across diverse organizational activities, including team collaboration, hiring processes, stakeholder engagement, research participation, training environments, consultations, conferences, and hybrid workplace interactions.</w:t>
      </w:r>
    </w:p>
    <w:p w14:paraId="2B962E7A" w14:textId="77777777" w:rsidR="006579C9" w:rsidRPr="0073353D" w:rsidRDefault="006579C9" w:rsidP="001F1B51">
      <w:pPr>
        <w:pStyle w:val="Heading5"/>
      </w:pPr>
      <w:r>
        <w:lastRenderedPageBreak/>
        <w:t xml:space="preserve">1. </w:t>
      </w:r>
      <w:r w:rsidRPr="0073353D">
        <w:t>Foundational Awareness</w:t>
      </w:r>
    </w:p>
    <w:p w14:paraId="3B81C2A8" w14:textId="77777777" w:rsidR="006579C9" w:rsidRPr="0073353D" w:rsidRDefault="006579C9" w:rsidP="001F1B51">
      <w:pPr>
        <w:pStyle w:val="BodyCopy"/>
      </w:pPr>
      <w:r w:rsidRPr="0073353D">
        <w:t>At the foundational level, individuals recognize that communication practices and participation environments influence accessibility. Individuals understand that people may interact with information in different ways and that communication structures may affect participation opportunities.</w:t>
      </w:r>
    </w:p>
    <w:p w14:paraId="7C1573AE" w14:textId="77777777" w:rsidR="006579C9" w:rsidRPr="0073353D" w:rsidRDefault="006579C9" w:rsidP="001F1B51">
      <w:pPr>
        <w:pStyle w:val="BodyCopy"/>
      </w:pPr>
      <w:r w:rsidRPr="0073353D">
        <w:t>Indicative practices include:</w:t>
      </w:r>
    </w:p>
    <w:p w14:paraId="5E03D372" w14:textId="77777777" w:rsidR="006579C9" w:rsidRDefault="006579C9" w:rsidP="008F4B3F">
      <w:pPr>
        <w:pStyle w:val="ListParagraph"/>
        <w:numPr>
          <w:ilvl w:val="0"/>
          <w:numId w:val="5"/>
        </w:numPr>
      </w:pPr>
      <w:r w:rsidRPr="0073353D">
        <w:t>recognizing that communication formats influence accessibility</w:t>
      </w:r>
    </w:p>
    <w:p w14:paraId="53D3925B" w14:textId="77777777" w:rsidR="006579C9" w:rsidRDefault="006579C9" w:rsidP="008F4B3F">
      <w:pPr>
        <w:pStyle w:val="ListParagraph"/>
        <w:numPr>
          <w:ilvl w:val="0"/>
          <w:numId w:val="5"/>
        </w:numPr>
      </w:pPr>
      <w:r w:rsidRPr="0073353D">
        <w:t>understanding that participation environments affect engagement</w:t>
      </w:r>
    </w:p>
    <w:p w14:paraId="76A29402" w14:textId="77777777" w:rsidR="006579C9" w:rsidRDefault="006579C9" w:rsidP="008F4B3F">
      <w:pPr>
        <w:pStyle w:val="ListParagraph"/>
        <w:numPr>
          <w:ilvl w:val="0"/>
          <w:numId w:val="5"/>
        </w:numPr>
      </w:pPr>
      <w:r w:rsidRPr="0073353D">
        <w:t>recognizing that individuals may use different communication modalities</w:t>
      </w:r>
    </w:p>
    <w:p w14:paraId="56150098" w14:textId="77777777" w:rsidR="006579C9" w:rsidRDefault="006579C9" w:rsidP="008F4B3F">
      <w:pPr>
        <w:pStyle w:val="ListParagraph"/>
        <w:numPr>
          <w:ilvl w:val="0"/>
          <w:numId w:val="5"/>
        </w:numPr>
      </w:pPr>
      <w:r w:rsidRPr="0073353D">
        <w:t>recognizing that respectful communication practices influence participation</w:t>
      </w:r>
    </w:p>
    <w:p w14:paraId="7EC4A866" w14:textId="77777777" w:rsidR="006579C9" w:rsidRDefault="006579C9" w:rsidP="008F4B3F">
      <w:pPr>
        <w:pStyle w:val="ListParagraph"/>
        <w:numPr>
          <w:ilvl w:val="0"/>
          <w:numId w:val="5"/>
        </w:numPr>
      </w:pPr>
      <w:r w:rsidRPr="0073353D">
        <w:t>understanding that accessibility may include captioning or interpretation</w:t>
      </w:r>
    </w:p>
    <w:p w14:paraId="597D4172" w14:textId="77777777" w:rsidR="006579C9" w:rsidRDefault="006579C9" w:rsidP="008F4B3F">
      <w:pPr>
        <w:pStyle w:val="ListParagraph"/>
        <w:numPr>
          <w:ilvl w:val="0"/>
          <w:numId w:val="5"/>
        </w:numPr>
      </w:pPr>
      <w:r w:rsidRPr="0073353D">
        <w:t>recognizing that physical environments influence participation</w:t>
      </w:r>
    </w:p>
    <w:p w14:paraId="35449DF0" w14:textId="77777777" w:rsidR="006579C9" w:rsidRDefault="006579C9" w:rsidP="008F4B3F">
      <w:pPr>
        <w:pStyle w:val="ListParagraph"/>
        <w:numPr>
          <w:ilvl w:val="0"/>
          <w:numId w:val="5"/>
        </w:numPr>
      </w:pPr>
      <w:r w:rsidRPr="0073353D">
        <w:t>recognizing that clarity and structure influence participation</w:t>
      </w:r>
    </w:p>
    <w:p w14:paraId="246BCCC4" w14:textId="77777777" w:rsidR="006579C9" w:rsidRPr="0073353D" w:rsidRDefault="006579C9" w:rsidP="008F4B3F">
      <w:pPr>
        <w:pStyle w:val="ListParagraph"/>
        <w:numPr>
          <w:ilvl w:val="0"/>
          <w:numId w:val="5"/>
        </w:numPr>
      </w:pPr>
      <w:r w:rsidRPr="0073353D">
        <w:t>recognizing that individuals may have different communication preferences</w:t>
      </w:r>
    </w:p>
    <w:p w14:paraId="569B471B" w14:textId="77777777" w:rsidR="006579C9" w:rsidRPr="0073353D" w:rsidRDefault="006579C9" w:rsidP="001F1B51">
      <w:pPr>
        <w:pStyle w:val="Heading5"/>
      </w:pPr>
      <w:r>
        <w:t xml:space="preserve">2. </w:t>
      </w:r>
      <w:r w:rsidRPr="0073353D">
        <w:t>Working Practice</w:t>
      </w:r>
    </w:p>
    <w:p w14:paraId="1E03B0BA" w14:textId="77777777" w:rsidR="006579C9" w:rsidRPr="0073353D" w:rsidRDefault="006579C9" w:rsidP="001F1B51">
      <w:pPr>
        <w:pStyle w:val="BodyCopy"/>
      </w:pPr>
      <w:r w:rsidRPr="0073353D">
        <w:t>At the working practice level, individuals apply inclusive communication practices within routine interactions and activities. Individuals consider how communication formats, facilitation approaches, and environmental conditions may influence participation.</w:t>
      </w:r>
    </w:p>
    <w:p w14:paraId="0E9F81DA" w14:textId="77777777" w:rsidR="006579C9" w:rsidRPr="0073353D" w:rsidRDefault="006579C9" w:rsidP="001F1B51">
      <w:pPr>
        <w:pStyle w:val="BodyCopy"/>
      </w:pPr>
      <w:r w:rsidRPr="0073353D">
        <w:t>Indicative practices include:</w:t>
      </w:r>
    </w:p>
    <w:p w14:paraId="1845371A" w14:textId="77777777" w:rsidR="006579C9" w:rsidRDefault="006579C9" w:rsidP="008E72B8">
      <w:pPr>
        <w:pStyle w:val="ListParagraph"/>
      </w:pPr>
      <w:r w:rsidRPr="0073353D">
        <w:t>sharing materials in accessible formats where possible</w:t>
      </w:r>
    </w:p>
    <w:p w14:paraId="325FAF0C" w14:textId="77777777" w:rsidR="006579C9" w:rsidRDefault="006579C9" w:rsidP="008E72B8">
      <w:pPr>
        <w:pStyle w:val="ListParagraph"/>
      </w:pPr>
      <w:r w:rsidRPr="0073353D">
        <w:t>providing clear agendas or meeting structures</w:t>
      </w:r>
    </w:p>
    <w:p w14:paraId="1BCB2798" w14:textId="77777777" w:rsidR="006579C9" w:rsidRDefault="006579C9" w:rsidP="008E72B8">
      <w:pPr>
        <w:pStyle w:val="ListParagraph"/>
      </w:pPr>
      <w:r w:rsidRPr="0073353D">
        <w:lastRenderedPageBreak/>
        <w:t>using respectful and inclusive language when communicating about disability</w:t>
      </w:r>
    </w:p>
    <w:p w14:paraId="5BBAA997" w14:textId="77777777" w:rsidR="006579C9" w:rsidRDefault="006579C9" w:rsidP="008E72B8">
      <w:pPr>
        <w:pStyle w:val="ListParagraph"/>
      </w:pPr>
      <w:r w:rsidRPr="0073353D">
        <w:t>identifying oneself when contributing in meetings or discussions</w:t>
      </w:r>
      <w:r>
        <w:t xml:space="preserve"> and </w:t>
      </w:r>
      <w:r w:rsidRPr="0073353D">
        <w:t>verbally orienting participants to changes in speakers when helpful</w:t>
      </w:r>
    </w:p>
    <w:p w14:paraId="2308E89D" w14:textId="77777777" w:rsidR="006579C9" w:rsidRDefault="006579C9" w:rsidP="008E72B8">
      <w:pPr>
        <w:pStyle w:val="ListParagraph"/>
      </w:pPr>
      <w:r w:rsidRPr="0073353D">
        <w:t>describing visual information when relevant to shared understanding</w:t>
      </w:r>
    </w:p>
    <w:p w14:paraId="27D091F3" w14:textId="77777777" w:rsidR="006579C9" w:rsidRDefault="006579C9" w:rsidP="008E72B8">
      <w:pPr>
        <w:pStyle w:val="ListParagraph"/>
      </w:pPr>
      <w:r w:rsidRPr="0073353D">
        <w:t>allowing flexibility in how participants contribute (e.g., chat, verbal, written follow-up)</w:t>
      </w:r>
    </w:p>
    <w:p w14:paraId="077BD2A0" w14:textId="77777777" w:rsidR="006579C9" w:rsidRDefault="006579C9" w:rsidP="008E72B8">
      <w:pPr>
        <w:pStyle w:val="ListParagraph"/>
      </w:pPr>
      <w:r w:rsidRPr="0073353D">
        <w:t>considering captioning or interpretation needs when organizing meetings or events (e.g., ASL interpretation)</w:t>
      </w:r>
    </w:p>
    <w:p w14:paraId="344BF235" w14:textId="77777777" w:rsidR="006579C9" w:rsidRDefault="006579C9" w:rsidP="008E72B8">
      <w:pPr>
        <w:pStyle w:val="ListParagraph"/>
      </w:pPr>
      <w:r w:rsidRPr="0073353D">
        <w:t>considering accessibility of physical meeting location</w:t>
      </w:r>
      <w:r>
        <w:t>s</w:t>
      </w:r>
    </w:p>
    <w:p w14:paraId="355EDEA9" w14:textId="5E972C1B" w:rsidR="006579C9" w:rsidRPr="0073353D" w:rsidRDefault="006579C9" w:rsidP="006579C9">
      <w:pPr>
        <w:pStyle w:val="ListParagraph"/>
      </w:pPr>
      <w:r w:rsidRPr="0073353D">
        <w:t>recognizing when accessibility supports may be required</w:t>
      </w:r>
    </w:p>
    <w:p w14:paraId="1390D303" w14:textId="77777777" w:rsidR="006579C9" w:rsidRPr="0073353D" w:rsidRDefault="006579C9" w:rsidP="001F1B51">
      <w:pPr>
        <w:pStyle w:val="Heading5"/>
      </w:pPr>
      <w:r>
        <w:t xml:space="preserve">3. </w:t>
      </w:r>
      <w:r w:rsidRPr="0073353D">
        <w:t>Applied Integration</w:t>
      </w:r>
    </w:p>
    <w:p w14:paraId="35FBD6DC" w14:textId="77777777" w:rsidR="006579C9" w:rsidRPr="0073353D" w:rsidRDefault="006579C9" w:rsidP="001F1B51">
      <w:pPr>
        <w:pStyle w:val="BodyCopy"/>
      </w:pPr>
      <w:r w:rsidRPr="0073353D">
        <w:t>At the applied integration level, individuals incorporate inclusive communication and participation considerations into planning and facilitation practices across projects, programs, or teams. Individuals anticipate participation needs and adapt engagement approaches accordingly.</w:t>
      </w:r>
    </w:p>
    <w:p w14:paraId="196E7550" w14:textId="77777777" w:rsidR="006579C9" w:rsidRPr="0073353D" w:rsidRDefault="006579C9" w:rsidP="001F1B51">
      <w:pPr>
        <w:pStyle w:val="BodyCopy"/>
      </w:pPr>
      <w:r w:rsidRPr="0073353D">
        <w:t>Indicative practices include:</w:t>
      </w:r>
    </w:p>
    <w:p w14:paraId="3D974B2A" w14:textId="77777777" w:rsidR="006579C9" w:rsidRDefault="006579C9" w:rsidP="008E72B8">
      <w:pPr>
        <w:pStyle w:val="ListParagraph"/>
      </w:pPr>
      <w:r w:rsidRPr="0073353D">
        <w:t>planning meetings or engagement activities that support multiple participation modalities</w:t>
      </w:r>
    </w:p>
    <w:p w14:paraId="702B6093" w14:textId="77777777" w:rsidR="006579C9" w:rsidRDefault="006579C9" w:rsidP="008E72B8">
      <w:pPr>
        <w:pStyle w:val="ListParagraph"/>
      </w:pPr>
      <w:r w:rsidRPr="0073353D">
        <w:t>incorporating captioning or interpretation considerations into event planning (e.g., ASL interpretation, CART captioning)</w:t>
      </w:r>
    </w:p>
    <w:p w14:paraId="4B24CAD5" w14:textId="77777777" w:rsidR="006579C9" w:rsidRDefault="006579C9" w:rsidP="008E72B8">
      <w:pPr>
        <w:pStyle w:val="ListParagraph"/>
      </w:pPr>
      <w:r w:rsidRPr="0073353D">
        <w:t>supporting accessible facilitation practices</w:t>
      </w:r>
    </w:p>
    <w:p w14:paraId="5D8628B7" w14:textId="77777777" w:rsidR="006579C9" w:rsidRDefault="006579C9" w:rsidP="008E72B8">
      <w:pPr>
        <w:pStyle w:val="ListParagraph"/>
      </w:pPr>
      <w:r w:rsidRPr="0073353D">
        <w:t>considering accessibility when selecting collaboration platforms or communication tools</w:t>
      </w:r>
    </w:p>
    <w:p w14:paraId="7ED4DE6D" w14:textId="77777777" w:rsidR="006579C9" w:rsidRDefault="006579C9" w:rsidP="008E72B8">
      <w:pPr>
        <w:pStyle w:val="ListParagraph"/>
      </w:pPr>
      <w:r w:rsidRPr="0073353D">
        <w:t>ensuring shared materials are structured to support readability and comprehension</w:t>
      </w:r>
    </w:p>
    <w:p w14:paraId="4765F5A8" w14:textId="77777777" w:rsidR="006579C9" w:rsidRDefault="006579C9" w:rsidP="008E72B8">
      <w:pPr>
        <w:pStyle w:val="ListParagraph"/>
      </w:pPr>
      <w:r w:rsidRPr="0073353D">
        <w:t>supporting participation processes that allow time for reflection or asynchronous contribution</w:t>
      </w:r>
    </w:p>
    <w:p w14:paraId="2D8E03D3" w14:textId="77777777" w:rsidR="006579C9" w:rsidRDefault="006579C9" w:rsidP="008E72B8">
      <w:pPr>
        <w:pStyle w:val="ListParagraph"/>
      </w:pPr>
      <w:r w:rsidRPr="0073353D">
        <w:lastRenderedPageBreak/>
        <w:t>identifying barriers within participation environments and adjusting practices where possible</w:t>
      </w:r>
    </w:p>
    <w:p w14:paraId="3C358EAB" w14:textId="77777777" w:rsidR="006579C9" w:rsidRPr="0073353D" w:rsidRDefault="006579C9" w:rsidP="008E72B8">
      <w:pPr>
        <w:pStyle w:val="ListParagraph"/>
      </w:pPr>
      <w:r w:rsidRPr="0073353D">
        <w:t>incorporating inclusive language practices into communication materials</w:t>
      </w:r>
    </w:p>
    <w:p w14:paraId="6DAF07DE" w14:textId="77777777" w:rsidR="006579C9" w:rsidRPr="0073353D" w:rsidRDefault="006579C9" w:rsidP="001F1B51">
      <w:pPr>
        <w:pStyle w:val="Heading5"/>
      </w:pPr>
      <w:r>
        <w:t xml:space="preserve">4. </w:t>
      </w:r>
      <w:r w:rsidRPr="0073353D">
        <w:t>Strategic Leadership</w:t>
      </w:r>
    </w:p>
    <w:p w14:paraId="6ECDB001" w14:textId="77777777" w:rsidR="006579C9" w:rsidRPr="0073353D" w:rsidRDefault="006579C9" w:rsidP="001F1B51">
      <w:pPr>
        <w:pStyle w:val="BodyCopy"/>
      </w:pPr>
      <w:r w:rsidRPr="0073353D">
        <w:t>At the strategic leadership level, individuals influence organizational communication structures and participation environments to support consistent accessibility practices across teams or departments.</w:t>
      </w:r>
    </w:p>
    <w:p w14:paraId="63E606FB" w14:textId="77777777" w:rsidR="006579C9" w:rsidRPr="0073353D" w:rsidRDefault="006579C9" w:rsidP="001F1B51">
      <w:pPr>
        <w:pStyle w:val="BodyCopy"/>
      </w:pPr>
      <w:r w:rsidRPr="0073353D">
        <w:t>Indicative practices include:</w:t>
      </w:r>
    </w:p>
    <w:p w14:paraId="0AA6A553" w14:textId="77777777" w:rsidR="006579C9" w:rsidRDefault="006579C9" w:rsidP="008E72B8">
      <w:pPr>
        <w:pStyle w:val="ListParagraph"/>
      </w:pPr>
      <w:r w:rsidRPr="0073353D">
        <w:t>supporting organizational expectations for inclusive communication practices</w:t>
      </w:r>
    </w:p>
    <w:p w14:paraId="36212856" w14:textId="77777777" w:rsidR="006579C9" w:rsidRDefault="006579C9" w:rsidP="008E72B8">
      <w:pPr>
        <w:pStyle w:val="ListParagraph"/>
      </w:pPr>
      <w:r w:rsidRPr="0073353D">
        <w:t>promoting availability of accessibility supports within communication environments</w:t>
      </w:r>
    </w:p>
    <w:p w14:paraId="31153426" w14:textId="77777777" w:rsidR="006579C9" w:rsidRDefault="006579C9" w:rsidP="008E72B8">
      <w:pPr>
        <w:pStyle w:val="ListParagraph"/>
      </w:pPr>
      <w:r w:rsidRPr="0073353D">
        <w:t>supporting development of guidance related to accessible meetings and events</w:t>
      </w:r>
    </w:p>
    <w:p w14:paraId="157E6588" w14:textId="77777777" w:rsidR="006579C9" w:rsidRDefault="006579C9" w:rsidP="008E72B8">
      <w:pPr>
        <w:pStyle w:val="ListParagraph"/>
      </w:pPr>
      <w:r w:rsidRPr="0073353D">
        <w:t>encouraging adoption of collaboration tools compatible with accessibility features</w:t>
      </w:r>
    </w:p>
    <w:p w14:paraId="2D09D013" w14:textId="77777777" w:rsidR="006579C9" w:rsidRDefault="006579C9" w:rsidP="008E72B8">
      <w:pPr>
        <w:pStyle w:val="ListParagraph"/>
      </w:pPr>
      <w:r w:rsidRPr="0073353D">
        <w:t>aligning communication practices with organizational accessibility commitments</w:t>
      </w:r>
    </w:p>
    <w:p w14:paraId="6C802F2F" w14:textId="77777777" w:rsidR="006579C9" w:rsidRDefault="006579C9" w:rsidP="008E72B8">
      <w:pPr>
        <w:pStyle w:val="ListParagraph"/>
      </w:pPr>
      <w:r w:rsidRPr="0073353D">
        <w:t>supporting continuous improvement in participation practices</w:t>
      </w:r>
    </w:p>
    <w:p w14:paraId="0C9F0674" w14:textId="77777777" w:rsidR="006579C9" w:rsidRDefault="006579C9" w:rsidP="008E72B8">
      <w:pPr>
        <w:pStyle w:val="ListParagraph"/>
      </w:pPr>
      <w:r w:rsidRPr="0073353D">
        <w:t xml:space="preserve">promoting awareness of accessibility considerations in </w:t>
      </w:r>
      <w:r>
        <w:t>meetings</w:t>
      </w:r>
    </w:p>
    <w:p w14:paraId="4BC744AA" w14:textId="77777777" w:rsidR="006579C9" w:rsidRPr="0073353D" w:rsidRDefault="006579C9" w:rsidP="008E72B8">
      <w:pPr>
        <w:pStyle w:val="ListParagraph"/>
      </w:pPr>
      <w:r w:rsidRPr="0073353D">
        <w:t>supporting development of inclusive language guidance where appropriate</w:t>
      </w:r>
    </w:p>
    <w:p w14:paraId="36A21443" w14:textId="77777777" w:rsidR="006579C9" w:rsidRDefault="006579C9" w:rsidP="006579C9">
      <w:pPr>
        <w:sectPr w:rsidR="006579C9" w:rsidSect="006579C9">
          <w:pgSz w:w="12240" w:h="15840"/>
          <w:pgMar w:top="1440" w:right="1440" w:bottom="1440" w:left="1440" w:header="720" w:footer="720" w:gutter="0"/>
          <w:cols w:space="720"/>
          <w:docGrid w:linePitch="360"/>
        </w:sectPr>
      </w:pPr>
    </w:p>
    <w:p w14:paraId="02F01467" w14:textId="383F185D" w:rsidR="006579C9" w:rsidRPr="00F44160" w:rsidRDefault="006579C9" w:rsidP="001F1B51">
      <w:pPr>
        <w:pStyle w:val="Heading4"/>
      </w:pPr>
      <w:r w:rsidRPr="00F44160">
        <w:lastRenderedPageBreak/>
        <w:t>Domain 4 – Digital and Information Accessibility</w:t>
      </w:r>
    </w:p>
    <w:p w14:paraId="4F4B6086" w14:textId="77777777" w:rsidR="006579C9" w:rsidRDefault="006579C9" w:rsidP="001F1B51">
      <w:pPr>
        <w:pStyle w:val="ListParagraph"/>
      </w:pPr>
      <w:r w:rsidRPr="00F44160">
        <w:rPr>
          <w:b/>
          <w:bCs/>
        </w:rPr>
        <w:t>Focus of competency:</w:t>
      </w:r>
      <w:r w:rsidRPr="00F44160">
        <w:t xml:space="preserve"> Accessibility of digital systems, information environments, and emerging technologies</w:t>
      </w:r>
    </w:p>
    <w:p w14:paraId="19C2DBDC" w14:textId="77777777" w:rsidR="006579C9" w:rsidRPr="00F44160" w:rsidRDefault="006579C9" w:rsidP="001F1B51">
      <w:pPr>
        <w:pStyle w:val="ListParagraph"/>
      </w:pPr>
      <w:r w:rsidRPr="00F44160">
        <w:rPr>
          <w:b/>
          <w:bCs/>
        </w:rPr>
        <w:t>Guiding question:</w:t>
      </w:r>
      <w:r w:rsidRPr="00F44160">
        <w:t xml:space="preserve"> How do digital systems shape who can access, interpret, and use information?</w:t>
      </w:r>
    </w:p>
    <w:p w14:paraId="637955F8" w14:textId="77777777" w:rsidR="006579C9" w:rsidRPr="00F44160" w:rsidRDefault="006579C9" w:rsidP="001F1B51">
      <w:pPr>
        <w:pStyle w:val="BodyCopy"/>
      </w:pPr>
      <w:r w:rsidRPr="00F44160">
        <w:t>Digital systems increasingly function as primary environments through which individuals access services, employment opportunities, education, communication, and organizational information. Accessibility barriers within digital environments may limit participation across multiple domains, including recruitment processes, internal knowledge systems, communication platforms, training environments, and public-facing services.</w:t>
      </w:r>
    </w:p>
    <w:p w14:paraId="40E3FD23" w14:textId="77777777" w:rsidR="006579C9" w:rsidRPr="00F44160" w:rsidRDefault="006579C9" w:rsidP="001F1B51">
      <w:pPr>
        <w:pStyle w:val="BodyCopy"/>
      </w:pPr>
      <w:r w:rsidRPr="00F44160">
        <w:t>Research in digital accessibility demonstrates that barriers often arise when accessibility considerations are introduced late in development processes or treated as specialized technical requirements rather than integrated quality practices (Lazar et al., 2015; Wentz, 2021). As digital infrastructures increasingly mediate participation in everyday organizational activities, accessibility competency includes awareness of how information is structured, presented, and interacted with across digital environments.</w:t>
      </w:r>
    </w:p>
    <w:p w14:paraId="0572ECBA" w14:textId="77777777" w:rsidR="006579C9" w:rsidRPr="00F44160" w:rsidRDefault="006579C9" w:rsidP="001F1B51">
      <w:pPr>
        <w:pStyle w:val="BodyCopy"/>
      </w:pPr>
      <w:r w:rsidRPr="00F44160">
        <w:t>Digital accessibility includes considerations related to:</w:t>
      </w:r>
    </w:p>
    <w:p w14:paraId="24F05A36" w14:textId="77777777" w:rsidR="006579C9" w:rsidRPr="00F44160" w:rsidRDefault="006579C9" w:rsidP="008E72B8">
      <w:pPr>
        <w:pStyle w:val="ListParagraph"/>
      </w:pPr>
      <w:r w:rsidRPr="00F44160">
        <w:t>document structure</w:t>
      </w:r>
    </w:p>
    <w:p w14:paraId="33C19DC3" w14:textId="77777777" w:rsidR="006579C9" w:rsidRPr="00F44160" w:rsidRDefault="006579C9" w:rsidP="008E72B8">
      <w:pPr>
        <w:pStyle w:val="ListParagraph"/>
      </w:pPr>
      <w:r w:rsidRPr="00F44160">
        <w:t>website navigation</w:t>
      </w:r>
    </w:p>
    <w:p w14:paraId="25CE1B02" w14:textId="77777777" w:rsidR="006579C9" w:rsidRPr="00F44160" w:rsidRDefault="006579C9" w:rsidP="008E72B8">
      <w:pPr>
        <w:pStyle w:val="ListParagraph"/>
      </w:pPr>
      <w:r w:rsidRPr="00F44160">
        <w:t>multimedia accessibility</w:t>
      </w:r>
    </w:p>
    <w:p w14:paraId="6EEED50B" w14:textId="77777777" w:rsidR="006579C9" w:rsidRPr="00F44160" w:rsidRDefault="006579C9" w:rsidP="008E72B8">
      <w:pPr>
        <w:pStyle w:val="ListParagraph"/>
      </w:pPr>
      <w:r w:rsidRPr="00F44160">
        <w:t>platform compatibility with assistive technologies</w:t>
      </w:r>
    </w:p>
    <w:p w14:paraId="5B700579" w14:textId="77777777" w:rsidR="006579C9" w:rsidRPr="00F44160" w:rsidRDefault="006579C9" w:rsidP="008E72B8">
      <w:pPr>
        <w:pStyle w:val="ListParagraph"/>
      </w:pPr>
      <w:r w:rsidRPr="00F44160">
        <w:t>user interface design</w:t>
      </w:r>
    </w:p>
    <w:p w14:paraId="738EE42C" w14:textId="77777777" w:rsidR="006579C9" w:rsidRPr="00F44160" w:rsidRDefault="006579C9" w:rsidP="008E72B8">
      <w:pPr>
        <w:pStyle w:val="ListParagraph"/>
      </w:pPr>
      <w:r w:rsidRPr="00F44160">
        <w:t>information architecture</w:t>
      </w:r>
    </w:p>
    <w:p w14:paraId="4BD4576E" w14:textId="77777777" w:rsidR="006579C9" w:rsidRPr="00F44160" w:rsidRDefault="006579C9" w:rsidP="008E72B8">
      <w:pPr>
        <w:pStyle w:val="ListParagraph"/>
      </w:pPr>
      <w:r w:rsidRPr="00F44160">
        <w:t>form design</w:t>
      </w:r>
    </w:p>
    <w:p w14:paraId="2C2B0316" w14:textId="77777777" w:rsidR="006579C9" w:rsidRPr="00F44160" w:rsidRDefault="006579C9" w:rsidP="008E72B8">
      <w:pPr>
        <w:pStyle w:val="ListParagraph"/>
      </w:pPr>
      <w:r w:rsidRPr="00F44160">
        <w:t>authentication processes</w:t>
      </w:r>
    </w:p>
    <w:p w14:paraId="09221A98" w14:textId="77777777" w:rsidR="006579C9" w:rsidRPr="00F44160" w:rsidRDefault="006579C9" w:rsidP="008E72B8">
      <w:pPr>
        <w:pStyle w:val="ListParagraph"/>
      </w:pPr>
      <w:r w:rsidRPr="00F44160">
        <w:lastRenderedPageBreak/>
        <w:t>enterprise software usability</w:t>
      </w:r>
    </w:p>
    <w:p w14:paraId="7C62E426" w14:textId="77777777" w:rsidR="006579C9" w:rsidRPr="00F44160" w:rsidRDefault="006579C9" w:rsidP="008E72B8">
      <w:pPr>
        <w:pStyle w:val="ListParagraph"/>
      </w:pPr>
      <w:r w:rsidRPr="00F44160">
        <w:t>digital procurement requirements</w:t>
      </w:r>
    </w:p>
    <w:p w14:paraId="78D78913" w14:textId="77777777" w:rsidR="006579C9" w:rsidRPr="00F44160" w:rsidRDefault="006579C9" w:rsidP="001F1B51">
      <w:pPr>
        <w:pStyle w:val="BodyCopy"/>
      </w:pPr>
      <w:r w:rsidRPr="00F44160">
        <w:t>Professional accessibility frameworks emphasize that digital accessibility often requires specialized technical expertise, including familiarity with standards such as the Web Content Accessibility Guidelines (WCAG) and knowledge of assistive technologies (IAAP, 2023). However, digital accessibility outcomes are frequently influenced by decisions made by individuals outside specialist roles, including those responsible for creating documents, selecting platforms, configuring systems, or managing digital workflows.</w:t>
      </w:r>
    </w:p>
    <w:p w14:paraId="7FB2A718" w14:textId="77777777" w:rsidR="006579C9" w:rsidRPr="00004117" w:rsidRDefault="006579C9" w:rsidP="001F1B51">
      <w:pPr>
        <w:pStyle w:val="BodyCopy"/>
      </w:pPr>
      <w:r w:rsidRPr="00004117">
        <w:t>Consistent with the born-accessible logic described in Domain 2, digital accessibility capability develops through iterative cycles of design, evaluation, remediation, and improvement. Accessibility barriers may emerge as technologies evolve, content changes, or systems are updated. Competency therefore includes the ability to identify potential accessibility barriers and respond constructively through iterative refinement processes.</w:t>
      </w:r>
    </w:p>
    <w:p w14:paraId="03C1340A" w14:textId="77777777" w:rsidR="006579C9" w:rsidRPr="00F44160" w:rsidRDefault="006579C9" w:rsidP="001F1B51">
      <w:pPr>
        <w:pStyle w:val="BodyCopy"/>
      </w:pPr>
      <w:r w:rsidRPr="00F44160">
        <w:t>Assistive technologies such as screen readers, screen magnification software, voice input tools, alternative navigation devices, and captioning systems interact with digital environments in ways that may not be visible to all users. Understanding that users may rely on assistive technologies supports awareness of how digital design decisions influence accessibility outcomes.</w:t>
      </w:r>
    </w:p>
    <w:p w14:paraId="25F621E6" w14:textId="77777777" w:rsidR="006579C9" w:rsidRPr="00F44160" w:rsidRDefault="006579C9" w:rsidP="001F1B51">
      <w:pPr>
        <w:pStyle w:val="BodyCopy"/>
      </w:pPr>
      <w:r w:rsidRPr="00F44160">
        <w:t xml:space="preserve">Emerging research also highlights the growing role of artificial intelligence (AI) in shaping access to information environments, employment processes, and service delivery systems (CNIB, 2024). AI systems may introduce new accessibility risks, such as biased decision-making processes or inaccessible automated interfaces. At the same time, AI technologies may function as assistive tools supporting communication, </w:t>
      </w:r>
      <w:r w:rsidRPr="00F44160">
        <w:lastRenderedPageBreak/>
        <w:t>navigation, summarization, transcription, and personalization of information environments.</w:t>
      </w:r>
    </w:p>
    <w:p w14:paraId="6E7F4C38" w14:textId="77777777" w:rsidR="006579C9" w:rsidRPr="00F44160" w:rsidRDefault="006579C9" w:rsidP="001F1B51">
      <w:pPr>
        <w:pStyle w:val="BodyCopy"/>
      </w:pPr>
      <w:r w:rsidRPr="00F44160">
        <w:t>Digital accessibility competency therefore includes awareness that technological change may introduce both barriers and opportunities for improving accessibility outcomes. This includes recognizing when accessibility expertise is required and when procurement decisions may influence accessibility across organizational systems.</w:t>
      </w:r>
    </w:p>
    <w:p w14:paraId="249BEE1E" w14:textId="77777777" w:rsidR="006579C9" w:rsidRPr="00F44160" w:rsidRDefault="006579C9" w:rsidP="001F1B51">
      <w:pPr>
        <w:pStyle w:val="BodyCopy"/>
      </w:pPr>
      <w:r w:rsidRPr="00F44160">
        <w:t>Digital accessibility practices intersect with multiple organizational functions, including ICT, communications, procurement, human resources systems, research dissemination, knowledge management, and service design. Digital accessibility competency does not imply that all roles require deep technical expertise, but rather that individuals recognize how digital information environments influence participation conditions and when collaboration with accessibility specialists is necessary.</w:t>
      </w:r>
    </w:p>
    <w:p w14:paraId="0D0AAC6C" w14:textId="77777777" w:rsidR="006579C9" w:rsidRPr="00F44160" w:rsidRDefault="006579C9" w:rsidP="001F1B51">
      <w:pPr>
        <w:pStyle w:val="Heading5"/>
      </w:pPr>
      <w:r>
        <w:t xml:space="preserve">1. </w:t>
      </w:r>
      <w:r w:rsidRPr="00F44160">
        <w:t>Foundational Awareness</w:t>
      </w:r>
    </w:p>
    <w:p w14:paraId="6D857590" w14:textId="77777777" w:rsidR="006579C9" w:rsidRPr="00F44160" w:rsidRDefault="006579C9" w:rsidP="001F1B51">
      <w:pPr>
        <w:pStyle w:val="BodyCopy"/>
      </w:pPr>
      <w:r w:rsidRPr="00F44160">
        <w:t>At the foundational level, individuals recognize that digital systems influence accessibility and participation. Individuals understand that digital content and tools may be used in different ways by individuals using assistive technologies.</w:t>
      </w:r>
    </w:p>
    <w:p w14:paraId="33FBF659" w14:textId="77777777" w:rsidR="006579C9" w:rsidRPr="00F44160" w:rsidRDefault="006579C9" w:rsidP="001F1B51">
      <w:pPr>
        <w:pStyle w:val="BodyCopy"/>
      </w:pPr>
      <w:r w:rsidRPr="00F44160">
        <w:t>Indicative practices include:</w:t>
      </w:r>
    </w:p>
    <w:p w14:paraId="6426707F" w14:textId="77777777" w:rsidR="006579C9" w:rsidRDefault="006579C9" w:rsidP="008E72B8">
      <w:pPr>
        <w:pStyle w:val="ListParagraph"/>
      </w:pPr>
      <w:r w:rsidRPr="00F44160">
        <w:t>recognizing that digital content may affect accessibility</w:t>
      </w:r>
    </w:p>
    <w:p w14:paraId="31B6B2DF" w14:textId="77777777" w:rsidR="006579C9" w:rsidRDefault="006579C9" w:rsidP="008E72B8">
      <w:pPr>
        <w:pStyle w:val="ListParagraph"/>
      </w:pPr>
      <w:r w:rsidRPr="00F44160">
        <w:t>understanding that individuals may use assistive technologies to access information</w:t>
      </w:r>
    </w:p>
    <w:p w14:paraId="48F8DCB8" w14:textId="77777777" w:rsidR="006579C9" w:rsidRDefault="006579C9" w:rsidP="008E72B8">
      <w:pPr>
        <w:pStyle w:val="ListParagraph"/>
      </w:pPr>
      <w:r w:rsidRPr="00F44160">
        <w:t>recognizing that document structure influences readability and navigation</w:t>
      </w:r>
    </w:p>
    <w:p w14:paraId="0E38522B" w14:textId="77777777" w:rsidR="006579C9" w:rsidRDefault="006579C9" w:rsidP="008E72B8">
      <w:pPr>
        <w:pStyle w:val="ListParagraph"/>
      </w:pPr>
      <w:r w:rsidRPr="00F44160">
        <w:t>recognizing that images, charts, and multimedia require accessible alternatives</w:t>
      </w:r>
    </w:p>
    <w:p w14:paraId="21B4EE80" w14:textId="77777777" w:rsidR="006579C9" w:rsidRDefault="006579C9" w:rsidP="008E72B8">
      <w:pPr>
        <w:pStyle w:val="ListParagraph"/>
      </w:pPr>
      <w:r w:rsidRPr="00F44160">
        <w:lastRenderedPageBreak/>
        <w:t>understanding that accessibility considerations may apply to websites, documents, and platforms</w:t>
      </w:r>
    </w:p>
    <w:p w14:paraId="352E64CA" w14:textId="77777777" w:rsidR="006579C9" w:rsidRPr="00F44160" w:rsidRDefault="006579C9" w:rsidP="008E72B8">
      <w:pPr>
        <w:pStyle w:val="ListParagraph"/>
      </w:pPr>
      <w:r w:rsidRPr="00F44160">
        <w:t>recognizing that digital barriers may prevent participation</w:t>
      </w:r>
    </w:p>
    <w:p w14:paraId="4FDD6D60" w14:textId="77777777" w:rsidR="006579C9" w:rsidRPr="00F44160" w:rsidRDefault="006579C9" w:rsidP="001F1B51">
      <w:pPr>
        <w:pStyle w:val="Heading5"/>
      </w:pPr>
      <w:r>
        <w:t xml:space="preserve">2. </w:t>
      </w:r>
      <w:r w:rsidRPr="00F44160">
        <w:t>Working Practice</w:t>
      </w:r>
    </w:p>
    <w:p w14:paraId="7CB9ED77" w14:textId="77777777" w:rsidR="006579C9" w:rsidRPr="00F44160" w:rsidRDefault="006579C9" w:rsidP="001F1B51">
      <w:pPr>
        <w:pStyle w:val="BodyCopy"/>
      </w:pPr>
      <w:r w:rsidRPr="00F44160">
        <w:t>At the working practice level, individuals apply basic accessibility considerations when creating or sharing digital content. Individuals recognize how formatting and structure influence usability across digital environments.</w:t>
      </w:r>
    </w:p>
    <w:p w14:paraId="03D7D629" w14:textId="77777777" w:rsidR="006579C9" w:rsidRPr="00F44160" w:rsidRDefault="006579C9" w:rsidP="001F1B51">
      <w:pPr>
        <w:pStyle w:val="BodyCopy"/>
      </w:pPr>
      <w:r w:rsidRPr="00F44160">
        <w:t>Indicative practices include:</w:t>
      </w:r>
    </w:p>
    <w:p w14:paraId="0A3F93FA" w14:textId="77777777" w:rsidR="006579C9" w:rsidRDefault="006579C9" w:rsidP="008E72B8">
      <w:pPr>
        <w:pStyle w:val="ListParagraph"/>
      </w:pPr>
      <w:r w:rsidRPr="00F44160">
        <w:t>creating documents using structured headings</w:t>
      </w:r>
    </w:p>
    <w:p w14:paraId="441C9052" w14:textId="77777777" w:rsidR="006579C9" w:rsidRDefault="006579C9" w:rsidP="008E72B8">
      <w:pPr>
        <w:pStyle w:val="ListParagraph"/>
      </w:pPr>
      <w:r w:rsidRPr="00F44160">
        <w:t>providing alternative text descriptions for images when relevant</w:t>
      </w:r>
    </w:p>
    <w:p w14:paraId="16D983F7" w14:textId="77777777" w:rsidR="006579C9" w:rsidRDefault="006579C9" w:rsidP="008E72B8">
      <w:pPr>
        <w:pStyle w:val="ListParagraph"/>
      </w:pPr>
      <w:r w:rsidRPr="00F44160">
        <w:t>using readable formatting practices that support comprehension</w:t>
      </w:r>
    </w:p>
    <w:p w14:paraId="31A85CF8" w14:textId="77777777" w:rsidR="006579C9" w:rsidRDefault="006579C9" w:rsidP="008E72B8">
      <w:pPr>
        <w:pStyle w:val="ListParagraph"/>
      </w:pPr>
      <w:r w:rsidRPr="00F44160">
        <w:t>ensuring digital materials can be navigated without reliance on visual interpretation alone</w:t>
      </w:r>
    </w:p>
    <w:p w14:paraId="23035F73" w14:textId="77777777" w:rsidR="006579C9" w:rsidRDefault="006579C9" w:rsidP="008E72B8">
      <w:pPr>
        <w:pStyle w:val="ListParagraph"/>
      </w:pPr>
      <w:r w:rsidRPr="00F44160">
        <w:t>recognizing when multimedia content may require captions or transcripts</w:t>
      </w:r>
    </w:p>
    <w:p w14:paraId="537191F2" w14:textId="77777777" w:rsidR="006579C9" w:rsidRDefault="006579C9" w:rsidP="008E72B8">
      <w:pPr>
        <w:pStyle w:val="ListParagraph"/>
      </w:pPr>
      <w:r w:rsidRPr="00F44160">
        <w:t>considering accessibility when selecting digital tools or collaboration platforms</w:t>
      </w:r>
    </w:p>
    <w:p w14:paraId="46F8E295" w14:textId="77777777" w:rsidR="006579C9" w:rsidRPr="00F44160" w:rsidRDefault="006579C9" w:rsidP="008E72B8">
      <w:pPr>
        <w:pStyle w:val="ListParagraph"/>
      </w:pPr>
      <w:r w:rsidRPr="00F44160">
        <w:t>recognizing when accessibility testing or specialist input may be required</w:t>
      </w:r>
    </w:p>
    <w:p w14:paraId="551936A9" w14:textId="77777777" w:rsidR="006579C9" w:rsidRPr="00F44160" w:rsidRDefault="006579C9" w:rsidP="001F1B51">
      <w:pPr>
        <w:pStyle w:val="Heading5"/>
      </w:pPr>
      <w:r>
        <w:t xml:space="preserve">3. </w:t>
      </w:r>
      <w:r w:rsidRPr="00F44160">
        <w:t>Applied Integration</w:t>
      </w:r>
    </w:p>
    <w:p w14:paraId="4352C4A4" w14:textId="77777777" w:rsidR="006579C9" w:rsidRPr="00F44160" w:rsidRDefault="006579C9" w:rsidP="001F1B51">
      <w:pPr>
        <w:pStyle w:val="BodyCopy"/>
      </w:pPr>
      <w:r w:rsidRPr="00F44160">
        <w:t>At the applied integration level, individuals incorporate accessibility considerations into digital workflows, platform selection processes, and content governance structures. Individuals identify recurring accessibility barriers and contribute to improved digital practices across teams or functions.</w:t>
      </w:r>
    </w:p>
    <w:p w14:paraId="594E99D9" w14:textId="77777777" w:rsidR="006579C9" w:rsidRPr="00F44160" w:rsidRDefault="006579C9" w:rsidP="001F1B51">
      <w:pPr>
        <w:pStyle w:val="BodyCopy"/>
      </w:pPr>
      <w:r w:rsidRPr="00F44160">
        <w:t>Indicative practices include:</w:t>
      </w:r>
    </w:p>
    <w:p w14:paraId="3771049B" w14:textId="77777777" w:rsidR="006579C9" w:rsidRDefault="006579C9" w:rsidP="008E72B8">
      <w:pPr>
        <w:pStyle w:val="ListParagraph"/>
      </w:pPr>
      <w:r w:rsidRPr="00F44160">
        <w:lastRenderedPageBreak/>
        <w:t>incorporating accessibility considerations into digital content workflows</w:t>
      </w:r>
    </w:p>
    <w:p w14:paraId="05CA81EF" w14:textId="77777777" w:rsidR="006579C9" w:rsidRDefault="006579C9" w:rsidP="008E72B8">
      <w:pPr>
        <w:pStyle w:val="ListParagraph"/>
      </w:pPr>
      <w:r w:rsidRPr="00F44160">
        <w:t>evaluating digital tools or platforms for accessibility compatibility (e.g., screen reader compatibility)</w:t>
      </w:r>
    </w:p>
    <w:p w14:paraId="44E75636" w14:textId="77777777" w:rsidR="006579C9" w:rsidRDefault="006579C9" w:rsidP="008E72B8">
      <w:pPr>
        <w:pStyle w:val="ListParagraph"/>
      </w:pPr>
      <w:r w:rsidRPr="00F44160">
        <w:t>collaborating with accessibility specialists when developing digital products or services</w:t>
      </w:r>
    </w:p>
    <w:p w14:paraId="79E32BC8" w14:textId="77777777" w:rsidR="006579C9" w:rsidRDefault="006579C9" w:rsidP="008E72B8">
      <w:pPr>
        <w:pStyle w:val="ListParagraph"/>
      </w:pPr>
      <w:r w:rsidRPr="00F44160">
        <w:t>integrating accessibility review into content publishing or system configuration processes</w:t>
      </w:r>
    </w:p>
    <w:p w14:paraId="1B139384" w14:textId="77777777" w:rsidR="006579C9" w:rsidRDefault="006579C9" w:rsidP="008E72B8">
      <w:pPr>
        <w:pStyle w:val="ListParagraph"/>
      </w:pPr>
      <w:r w:rsidRPr="00F44160">
        <w:t>identifying patterns in digital accessibility barriers and supporting remediation efforts</w:t>
      </w:r>
    </w:p>
    <w:p w14:paraId="590EEC2B" w14:textId="77777777" w:rsidR="006579C9" w:rsidRDefault="006579C9" w:rsidP="008E72B8">
      <w:pPr>
        <w:pStyle w:val="ListParagraph"/>
      </w:pPr>
      <w:r w:rsidRPr="00F44160">
        <w:t>considering accessibility when procuring digital platforms or enterprise systems</w:t>
      </w:r>
    </w:p>
    <w:p w14:paraId="2C8716D2" w14:textId="77777777" w:rsidR="006579C9" w:rsidRPr="00F44160" w:rsidRDefault="006579C9" w:rsidP="008E72B8">
      <w:pPr>
        <w:pStyle w:val="ListParagraph"/>
      </w:pPr>
      <w:r w:rsidRPr="00F44160">
        <w:t>supporting alignment between accessibility standards and organizational digital practices</w:t>
      </w:r>
    </w:p>
    <w:p w14:paraId="55835107" w14:textId="77777777" w:rsidR="006579C9" w:rsidRPr="00F44160" w:rsidRDefault="006579C9" w:rsidP="001F1B51">
      <w:pPr>
        <w:pStyle w:val="Heading5"/>
      </w:pPr>
      <w:r>
        <w:t xml:space="preserve">4. </w:t>
      </w:r>
      <w:r w:rsidRPr="00F44160">
        <w:t>Strategic Leadership</w:t>
      </w:r>
    </w:p>
    <w:p w14:paraId="29C8521C" w14:textId="77777777" w:rsidR="006579C9" w:rsidRPr="00F44160" w:rsidRDefault="006579C9" w:rsidP="001F1B51">
      <w:pPr>
        <w:pStyle w:val="BodyCopy"/>
      </w:pPr>
      <w:r w:rsidRPr="00F44160">
        <w:t>At the strategic leadership level, individuals influence organizational digital environments to support sustained accessibility practices across systems and services. Individuals support structures that enable continuous improvement in digital accessibility capability.</w:t>
      </w:r>
    </w:p>
    <w:p w14:paraId="0502CA7A" w14:textId="77777777" w:rsidR="006579C9" w:rsidRPr="00F44160" w:rsidRDefault="006579C9" w:rsidP="001F1B51">
      <w:pPr>
        <w:pStyle w:val="BodyCopy"/>
      </w:pPr>
      <w:r w:rsidRPr="00F44160">
        <w:t>Indicative practices include:</w:t>
      </w:r>
    </w:p>
    <w:p w14:paraId="571E56AD" w14:textId="77777777" w:rsidR="006579C9" w:rsidRDefault="006579C9" w:rsidP="008E72B8">
      <w:pPr>
        <w:pStyle w:val="ListParagraph"/>
      </w:pPr>
      <w:r w:rsidRPr="00F44160">
        <w:t>supporting adoption of accessibility standards across digital systems</w:t>
      </w:r>
    </w:p>
    <w:p w14:paraId="41F01911" w14:textId="77777777" w:rsidR="006579C9" w:rsidRDefault="006579C9" w:rsidP="008E72B8">
      <w:pPr>
        <w:pStyle w:val="ListParagraph"/>
      </w:pPr>
      <w:r w:rsidRPr="00F44160">
        <w:t>promoting procurement criteria that include accessibility requirements</w:t>
      </w:r>
    </w:p>
    <w:p w14:paraId="32FE826F" w14:textId="77777777" w:rsidR="006579C9" w:rsidRDefault="006579C9" w:rsidP="008E72B8">
      <w:pPr>
        <w:pStyle w:val="ListParagraph"/>
      </w:pPr>
      <w:r w:rsidRPr="00F44160">
        <w:t>supporting integration of accessibility evaluation into digital governance processes</w:t>
      </w:r>
    </w:p>
    <w:p w14:paraId="68DEAD52" w14:textId="77777777" w:rsidR="006579C9" w:rsidRDefault="006579C9" w:rsidP="008E72B8">
      <w:pPr>
        <w:pStyle w:val="ListParagraph"/>
      </w:pPr>
      <w:r w:rsidRPr="00F44160">
        <w:t>aligning digital accessibility practices with organizational accessibility commitments</w:t>
      </w:r>
    </w:p>
    <w:p w14:paraId="41AC0A31" w14:textId="77777777" w:rsidR="006579C9" w:rsidRDefault="006579C9" w:rsidP="008E72B8">
      <w:pPr>
        <w:pStyle w:val="ListParagraph"/>
      </w:pPr>
      <w:r w:rsidRPr="00F44160">
        <w:t>supporting resourcing for accessibility testing and remediation</w:t>
      </w:r>
    </w:p>
    <w:p w14:paraId="000FC6C2" w14:textId="77777777" w:rsidR="006579C9" w:rsidRDefault="006579C9" w:rsidP="008E72B8">
      <w:pPr>
        <w:pStyle w:val="ListParagraph"/>
      </w:pPr>
      <w:r w:rsidRPr="00F44160">
        <w:t>promoting awareness of accessibility implications of emerging technologies such as AI</w:t>
      </w:r>
    </w:p>
    <w:p w14:paraId="7848A27E" w14:textId="77777777" w:rsidR="006579C9" w:rsidRDefault="006579C9" w:rsidP="008E72B8">
      <w:pPr>
        <w:pStyle w:val="ListParagraph"/>
      </w:pPr>
      <w:r w:rsidRPr="00F44160">
        <w:lastRenderedPageBreak/>
        <w:t>supporting continuous improvement approaches that strengthen digital accessibility capability</w:t>
      </w:r>
    </w:p>
    <w:p w14:paraId="158EA773" w14:textId="77777777" w:rsidR="006579C9" w:rsidRDefault="006579C9" w:rsidP="006579C9">
      <w:pPr>
        <w:sectPr w:rsidR="006579C9" w:rsidSect="006579C9">
          <w:pgSz w:w="12240" w:h="15840"/>
          <w:pgMar w:top="1440" w:right="1440" w:bottom="1440" w:left="1440" w:header="720" w:footer="720" w:gutter="0"/>
          <w:cols w:space="720"/>
          <w:docGrid w:linePitch="360"/>
        </w:sectPr>
      </w:pPr>
    </w:p>
    <w:p w14:paraId="1CBAA8A4" w14:textId="23865241" w:rsidR="006579C9" w:rsidRPr="00683F64" w:rsidRDefault="006579C9" w:rsidP="00867CFE">
      <w:pPr>
        <w:pStyle w:val="Heading4"/>
      </w:pPr>
      <w:r w:rsidRPr="00683F64">
        <w:lastRenderedPageBreak/>
        <w:t>Domain 5 – Organizational Accessibility and Accountability</w:t>
      </w:r>
    </w:p>
    <w:p w14:paraId="3FE46874" w14:textId="77777777" w:rsidR="006579C9" w:rsidRDefault="006579C9" w:rsidP="00867CFE">
      <w:pPr>
        <w:pStyle w:val="ListParagraph"/>
      </w:pPr>
      <w:r w:rsidRPr="00683F64">
        <w:rPr>
          <w:b/>
          <w:bCs/>
        </w:rPr>
        <w:t>Focus of competency:</w:t>
      </w:r>
      <w:r w:rsidRPr="00683F64">
        <w:t xml:space="preserve"> Governance structures supporting sustained accessibility practice</w:t>
      </w:r>
    </w:p>
    <w:p w14:paraId="388811EB" w14:textId="77777777" w:rsidR="006579C9" w:rsidRPr="00683F64" w:rsidRDefault="006579C9" w:rsidP="00867CFE">
      <w:pPr>
        <w:pStyle w:val="ListParagraph"/>
      </w:pPr>
      <w:r w:rsidRPr="00683F64">
        <w:rPr>
          <w:b/>
          <w:bCs/>
        </w:rPr>
        <w:t>Guiding question:</w:t>
      </w:r>
      <w:r w:rsidRPr="00683F64">
        <w:t xml:space="preserve"> How do organizational structures distribute responsibility for accessibility and support accountability over time?</w:t>
      </w:r>
    </w:p>
    <w:p w14:paraId="57242DCD" w14:textId="77777777" w:rsidR="006579C9" w:rsidRPr="00683F64" w:rsidRDefault="006579C9" w:rsidP="00867CFE">
      <w:pPr>
        <w:pStyle w:val="BodyCopy"/>
      </w:pPr>
      <w:r w:rsidRPr="00683F64">
        <w:t>Co-design participants consistently identified organizational structures as significant enabling or constraining factors influencing accessibility outcomes. While individual awareness and technical expertise contribute to accessibility implementation, sustainable accessibility outcomes require alignment between governance mechanisms, resourcing decisions, role clarity, and institutional expectations.</w:t>
      </w:r>
    </w:p>
    <w:p w14:paraId="21FDEB9D" w14:textId="77777777" w:rsidR="006579C9" w:rsidRPr="00683F64" w:rsidRDefault="006579C9" w:rsidP="00867CFE">
      <w:pPr>
        <w:pStyle w:val="BodyCopy"/>
      </w:pPr>
      <w:r w:rsidRPr="00683F64">
        <w:t>Participants described situations in which accessibility work was performed informally by individuals without formal authority, dedicated resources, or clearly defined responsibility structures. Reliance on informal champions may support short-term progress but may also contribute to inconsistent implementation, uneven distribution of labour, and limited sustainability of accessibility practices.</w:t>
      </w:r>
    </w:p>
    <w:p w14:paraId="2544AD38" w14:textId="77777777" w:rsidR="006579C9" w:rsidRPr="00683F64" w:rsidRDefault="006579C9" w:rsidP="00867CFE">
      <w:pPr>
        <w:pStyle w:val="BodyCopy"/>
      </w:pPr>
      <w:r w:rsidRPr="00683F64">
        <w:t>Organizational accessibility capability involves coordination between specialist expertise and distributed competency across roles. Specialist accessibility professionals provide critical technical and strategic expertise, while individuals across functions influence accessibility outcomes through decisions related to procurement, communications, technology selection, hiring processes, policy interpretation, research practices, and service design.</w:t>
      </w:r>
    </w:p>
    <w:p w14:paraId="56B6063F" w14:textId="77777777" w:rsidR="006579C9" w:rsidRPr="00683F64" w:rsidRDefault="006579C9" w:rsidP="00867CFE">
      <w:pPr>
        <w:pStyle w:val="BodyCopy"/>
      </w:pPr>
      <w:r w:rsidRPr="00683F64">
        <w:t>Governance structures influence whether accessibility considerations are incorporated consistently into organizational workflows. Examples of structural mechanisms influencing accessibility outcomes may include:</w:t>
      </w:r>
    </w:p>
    <w:p w14:paraId="201A94FA" w14:textId="77777777" w:rsidR="006579C9" w:rsidRPr="00683F64" w:rsidRDefault="006579C9" w:rsidP="008E72B8">
      <w:pPr>
        <w:pStyle w:val="ListParagraph"/>
      </w:pPr>
      <w:r w:rsidRPr="00683F64">
        <w:t>procurement policies that incorporate accessibility criteria</w:t>
      </w:r>
    </w:p>
    <w:p w14:paraId="36D1F87D" w14:textId="77777777" w:rsidR="006579C9" w:rsidRPr="00683F64" w:rsidRDefault="006579C9" w:rsidP="008E72B8">
      <w:pPr>
        <w:pStyle w:val="ListParagraph"/>
      </w:pPr>
      <w:r w:rsidRPr="00683F64">
        <w:lastRenderedPageBreak/>
        <w:t>performance expectations related to accessibility responsibilities</w:t>
      </w:r>
    </w:p>
    <w:p w14:paraId="303699B2" w14:textId="77777777" w:rsidR="006579C9" w:rsidRPr="00683F64" w:rsidRDefault="006579C9" w:rsidP="008E72B8">
      <w:pPr>
        <w:pStyle w:val="ListParagraph"/>
      </w:pPr>
      <w:r w:rsidRPr="00683F64">
        <w:t>defined escalation pathways for addressing accessibility barriers</w:t>
      </w:r>
    </w:p>
    <w:p w14:paraId="39B303AD" w14:textId="77777777" w:rsidR="006579C9" w:rsidRPr="00683F64" w:rsidRDefault="006579C9" w:rsidP="008E72B8">
      <w:pPr>
        <w:pStyle w:val="ListParagraph"/>
      </w:pPr>
      <w:r w:rsidRPr="00683F64">
        <w:t>integration of accessibility into project governance processes</w:t>
      </w:r>
    </w:p>
    <w:p w14:paraId="23A0DEAA" w14:textId="77777777" w:rsidR="006579C9" w:rsidRPr="00683F64" w:rsidRDefault="006579C9" w:rsidP="008E72B8">
      <w:pPr>
        <w:pStyle w:val="ListParagraph"/>
      </w:pPr>
      <w:r w:rsidRPr="00683F64">
        <w:t>resourcing for accessibility evaluation and remediation</w:t>
      </w:r>
    </w:p>
    <w:p w14:paraId="6D8AD8ED" w14:textId="77777777" w:rsidR="006579C9" w:rsidRPr="00683F64" w:rsidRDefault="006579C9" w:rsidP="008E72B8">
      <w:pPr>
        <w:pStyle w:val="ListParagraph"/>
      </w:pPr>
      <w:r w:rsidRPr="00683F64">
        <w:t>alignment between accessibility commitments and organizational strategy</w:t>
      </w:r>
    </w:p>
    <w:p w14:paraId="02B0ECA5" w14:textId="77777777" w:rsidR="006579C9" w:rsidRPr="00683F64" w:rsidRDefault="006579C9" w:rsidP="00867CFE">
      <w:pPr>
        <w:pStyle w:val="BodyCopy"/>
      </w:pPr>
      <w:r w:rsidRPr="00683F64">
        <w:t>Co-design participants emphasized that organizational accountability supports clearer expectations regarding how accessibility responsibilities are shared across roles. Accountability structures may reduce reliance on informal labour and support more consistent accessibility practices across teams and departments.</w:t>
      </w:r>
    </w:p>
    <w:p w14:paraId="587322D3" w14:textId="77777777" w:rsidR="006579C9" w:rsidRPr="00683F64" w:rsidRDefault="006579C9" w:rsidP="00867CFE">
      <w:pPr>
        <w:pStyle w:val="BodyCopy"/>
      </w:pPr>
      <w:r w:rsidRPr="00683F64">
        <w:t>Capability maturity research suggests that organizational competencies develop progressively as expectations, processes, and evaluation mechanisms become more clearly defined and consistently applied (Paulk et al., 1993). Applying this logic to accessibility supports understanding accessibility as an organizational capability requiring coordination between policy structures, operational workflows, and professional competencies.</w:t>
      </w:r>
    </w:p>
    <w:p w14:paraId="540BCAED" w14:textId="77777777" w:rsidR="006579C9" w:rsidRPr="00683F64" w:rsidRDefault="006579C9" w:rsidP="00867CFE">
      <w:pPr>
        <w:pStyle w:val="BodyCopy"/>
      </w:pPr>
      <w:r w:rsidRPr="00683F64">
        <w:t>Organizational accessibility competency therefore includes the ability to recognize how institutional structures influence accessibility outcomes and how governance mechanisms may support continuous improvement in accessibility practice.</w:t>
      </w:r>
    </w:p>
    <w:p w14:paraId="6374C182" w14:textId="77777777" w:rsidR="006579C9" w:rsidRPr="00683F64" w:rsidRDefault="006579C9" w:rsidP="00867CFE">
      <w:pPr>
        <w:pStyle w:val="BodyCopy"/>
      </w:pPr>
      <w:r w:rsidRPr="00683F64">
        <w:t>Organizational accountability does not imply centralization of all accessibility responsibility within a single role or unit. Rather, accountability structures support clarity regarding how responsibilities are distributed, how decisions affecting accessibility are made, and how accessibility priorities are sustained over time.</w:t>
      </w:r>
    </w:p>
    <w:p w14:paraId="11308926" w14:textId="77777777" w:rsidR="006579C9" w:rsidRPr="00683F64" w:rsidRDefault="006579C9" w:rsidP="00867CFE">
      <w:pPr>
        <w:pStyle w:val="BodyCopy"/>
      </w:pPr>
      <w:r w:rsidRPr="00683F64">
        <w:t xml:space="preserve">Alignment between organizational strategy and accessibility objectives may also influence how accessibility considerations are incorporated into </w:t>
      </w:r>
      <w:r w:rsidRPr="00683F64">
        <w:lastRenderedPageBreak/>
        <w:t>enterprise planning, procurement processes, digital transformation initiatives, human resources practices, and service delivery models.</w:t>
      </w:r>
    </w:p>
    <w:p w14:paraId="0E0A2005" w14:textId="77777777" w:rsidR="006579C9" w:rsidRPr="00683F64" w:rsidRDefault="006579C9" w:rsidP="00867CFE">
      <w:pPr>
        <w:pStyle w:val="Heading5"/>
      </w:pPr>
      <w:r>
        <w:t xml:space="preserve">1. </w:t>
      </w:r>
      <w:r w:rsidRPr="00683F64">
        <w:t>Foundational Awareness</w:t>
      </w:r>
    </w:p>
    <w:p w14:paraId="357B0F8C" w14:textId="77777777" w:rsidR="006579C9" w:rsidRPr="00683F64" w:rsidRDefault="006579C9" w:rsidP="00867CFE">
      <w:pPr>
        <w:pStyle w:val="BodyCopy"/>
      </w:pPr>
      <w:r w:rsidRPr="00683F64">
        <w:t>At the foundational level, individuals recognize that organizational structures influence accessibility outcomes. Individuals understand that accessibility responsibilities may be shared across roles and supported through institutional processes.</w:t>
      </w:r>
    </w:p>
    <w:p w14:paraId="4D103C62" w14:textId="77777777" w:rsidR="006579C9" w:rsidRPr="00683F64" w:rsidRDefault="006579C9" w:rsidP="00867CFE">
      <w:pPr>
        <w:pStyle w:val="BodyCopy"/>
      </w:pPr>
      <w:r w:rsidRPr="00683F64">
        <w:t>Indicative practices include:</w:t>
      </w:r>
    </w:p>
    <w:p w14:paraId="02E9633B" w14:textId="77777777" w:rsidR="006579C9" w:rsidRDefault="006579C9" w:rsidP="008E72B8">
      <w:pPr>
        <w:pStyle w:val="ListParagraph"/>
      </w:pPr>
      <w:r w:rsidRPr="00683F64">
        <w:t>recognizing that accessibility is influenced by organizational decision-making structures</w:t>
      </w:r>
    </w:p>
    <w:p w14:paraId="4E9089ED" w14:textId="77777777" w:rsidR="006579C9" w:rsidRDefault="006579C9" w:rsidP="008E72B8">
      <w:pPr>
        <w:pStyle w:val="ListParagraph"/>
      </w:pPr>
      <w:r w:rsidRPr="00683F64">
        <w:t>understanding that accessibility responsibilities may be distributed across roles</w:t>
      </w:r>
    </w:p>
    <w:p w14:paraId="1A082B7C" w14:textId="77777777" w:rsidR="006579C9" w:rsidRDefault="006579C9" w:rsidP="008E72B8">
      <w:pPr>
        <w:pStyle w:val="ListParagraph"/>
      </w:pPr>
      <w:r w:rsidRPr="00683F64">
        <w:t>recognizing that governance structures influence implementation consistency</w:t>
      </w:r>
    </w:p>
    <w:p w14:paraId="4678EB1E" w14:textId="77777777" w:rsidR="006579C9" w:rsidRDefault="006579C9" w:rsidP="008E72B8">
      <w:pPr>
        <w:pStyle w:val="ListParagraph"/>
      </w:pPr>
      <w:r w:rsidRPr="00683F64">
        <w:t>recognizing that accessibility expertise may exist in specialized roles</w:t>
      </w:r>
    </w:p>
    <w:p w14:paraId="27E0CB25" w14:textId="77777777" w:rsidR="006579C9" w:rsidRPr="00683F64" w:rsidRDefault="006579C9" w:rsidP="008E72B8">
      <w:pPr>
        <w:pStyle w:val="ListParagraph"/>
      </w:pPr>
      <w:r w:rsidRPr="00683F64">
        <w:t>understanding that organizational priorities influence accessibility outcomes</w:t>
      </w:r>
    </w:p>
    <w:p w14:paraId="75DE1DD5" w14:textId="77777777" w:rsidR="006579C9" w:rsidRPr="00683F64" w:rsidRDefault="006579C9" w:rsidP="00867CFE">
      <w:pPr>
        <w:pStyle w:val="Heading5"/>
      </w:pPr>
      <w:r>
        <w:t xml:space="preserve">2. </w:t>
      </w:r>
      <w:r w:rsidRPr="00683F64">
        <w:t>Working Practice</w:t>
      </w:r>
    </w:p>
    <w:p w14:paraId="652B7AF3" w14:textId="77777777" w:rsidR="006579C9" w:rsidRPr="00683F64" w:rsidRDefault="006579C9" w:rsidP="00867CFE">
      <w:pPr>
        <w:pStyle w:val="BodyCopy"/>
      </w:pPr>
      <w:r w:rsidRPr="00683F64">
        <w:t>At the working practice level, individuals recognize how their role interacts with organizational processes influencing accessibility. Individuals demonstrate awareness of how accountability structures support consistent accessibility practices.</w:t>
      </w:r>
    </w:p>
    <w:p w14:paraId="50189ECF" w14:textId="77777777" w:rsidR="006579C9" w:rsidRPr="00683F64" w:rsidRDefault="006579C9" w:rsidP="00867CFE">
      <w:pPr>
        <w:pStyle w:val="BodyCopy"/>
      </w:pPr>
      <w:r w:rsidRPr="00683F64">
        <w:t>Indicative practices include:</w:t>
      </w:r>
    </w:p>
    <w:p w14:paraId="5B913F91" w14:textId="77777777" w:rsidR="006579C9" w:rsidRDefault="006579C9" w:rsidP="00867CFE">
      <w:pPr>
        <w:pStyle w:val="ListParagraph"/>
      </w:pPr>
      <w:r w:rsidRPr="00683F64">
        <w:t>understanding how accessibility responsibilities relate to role expectations</w:t>
      </w:r>
    </w:p>
    <w:p w14:paraId="6E408BBE" w14:textId="77777777" w:rsidR="006579C9" w:rsidRDefault="006579C9" w:rsidP="00867CFE">
      <w:pPr>
        <w:pStyle w:val="ListParagraph"/>
      </w:pPr>
      <w:r w:rsidRPr="00683F64">
        <w:t>recognizing when accessibility considerations should be escalated or supported through organizational processes</w:t>
      </w:r>
    </w:p>
    <w:p w14:paraId="3D3DF1B5" w14:textId="77777777" w:rsidR="006579C9" w:rsidRDefault="006579C9" w:rsidP="00867CFE">
      <w:pPr>
        <w:pStyle w:val="ListParagraph"/>
      </w:pPr>
      <w:r w:rsidRPr="00683F64">
        <w:lastRenderedPageBreak/>
        <w:t>identifying how workflows or procedures may influence accessibility outcomes</w:t>
      </w:r>
    </w:p>
    <w:p w14:paraId="0C6E85FF" w14:textId="77777777" w:rsidR="006579C9" w:rsidRDefault="006579C9" w:rsidP="00867CFE">
      <w:pPr>
        <w:pStyle w:val="ListParagraph"/>
      </w:pPr>
      <w:r w:rsidRPr="00683F64">
        <w:t>recognizing when collaboration with accessibility specialists may be appropriate</w:t>
      </w:r>
    </w:p>
    <w:p w14:paraId="071747EE" w14:textId="77777777" w:rsidR="006579C9" w:rsidRPr="00683F64" w:rsidRDefault="006579C9" w:rsidP="00867CFE">
      <w:pPr>
        <w:pStyle w:val="ListParagraph"/>
      </w:pPr>
      <w:r w:rsidRPr="00683F64">
        <w:t>supporting consistent application of accessibility expectations within scope of role</w:t>
      </w:r>
    </w:p>
    <w:p w14:paraId="232F2318" w14:textId="77777777" w:rsidR="006579C9" w:rsidRPr="00683F64" w:rsidRDefault="006579C9" w:rsidP="00867CFE">
      <w:pPr>
        <w:pStyle w:val="Heading5"/>
      </w:pPr>
      <w:r>
        <w:t xml:space="preserve">3. </w:t>
      </w:r>
      <w:r w:rsidRPr="00683F64">
        <w:t>Applied Integration</w:t>
      </w:r>
    </w:p>
    <w:p w14:paraId="62621AF2" w14:textId="77777777" w:rsidR="006579C9" w:rsidRPr="00683F64" w:rsidRDefault="006579C9" w:rsidP="00867CFE">
      <w:pPr>
        <w:pStyle w:val="BodyCopy"/>
      </w:pPr>
      <w:r w:rsidRPr="00683F64">
        <w:t>At the applied integration level, individuals incorporate accessibility considerations into governance, coordination, or operational structures across teams or functions. Individuals support clearer alignment between accessibility priorities and institutional processes.</w:t>
      </w:r>
    </w:p>
    <w:p w14:paraId="68B09DD6" w14:textId="77777777" w:rsidR="006579C9" w:rsidRPr="00683F64" w:rsidRDefault="006579C9" w:rsidP="00867CFE">
      <w:pPr>
        <w:pStyle w:val="BodyCopy"/>
      </w:pPr>
      <w:r w:rsidRPr="00683F64">
        <w:t>Indicative practices include:</w:t>
      </w:r>
    </w:p>
    <w:p w14:paraId="5AA41878" w14:textId="77777777" w:rsidR="006579C9" w:rsidRDefault="006579C9" w:rsidP="00867CFE">
      <w:pPr>
        <w:pStyle w:val="ListParagraph"/>
      </w:pPr>
      <w:r w:rsidRPr="00683F64">
        <w:t>integrating accessibility considerations into project governance processes</w:t>
      </w:r>
    </w:p>
    <w:p w14:paraId="644BABDA" w14:textId="77777777" w:rsidR="006579C9" w:rsidRDefault="006579C9" w:rsidP="00867CFE">
      <w:pPr>
        <w:pStyle w:val="ListParagraph"/>
      </w:pPr>
      <w:r w:rsidRPr="00683F64">
        <w:t>supporting development of procedures addressing accessibility barriers</w:t>
      </w:r>
    </w:p>
    <w:p w14:paraId="460CB87D" w14:textId="77777777" w:rsidR="006579C9" w:rsidRDefault="006579C9" w:rsidP="00867CFE">
      <w:pPr>
        <w:pStyle w:val="ListParagraph"/>
      </w:pPr>
      <w:r w:rsidRPr="00683F64">
        <w:t>contributing to development of accessibility guidance within functional areas</w:t>
      </w:r>
    </w:p>
    <w:p w14:paraId="710E7BA2" w14:textId="77777777" w:rsidR="006579C9" w:rsidRDefault="006579C9" w:rsidP="00867CFE">
      <w:pPr>
        <w:pStyle w:val="ListParagraph"/>
      </w:pPr>
      <w:r w:rsidRPr="00683F64">
        <w:t>considering accessibility implications within procurement, policy, or operational decision-making</w:t>
      </w:r>
    </w:p>
    <w:p w14:paraId="53A9E917" w14:textId="77777777" w:rsidR="006579C9" w:rsidRDefault="006579C9" w:rsidP="00867CFE">
      <w:pPr>
        <w:pStyle w:val="ListParagraph"/>
      </w:pPr>
      <w:r w:rsidRPr="00683F64">
        <w:t>supporting coordination between specialist and non-specialist roles</w:t>
      </w:r>
    </w:p>
    <w:p w14:paraId="385FFF48" w14:textId="77777777" w:rsidR="006579C9" w:rsidRPr="00683F64" w:rsidRDefault="006579C9" w:rsidP="00867CFE">
      <w:pPr>
        <w:pStyle w:val="ListParagraph"/>
      </w:pPr>
      <w:r>
        <w:t>i</w:t>
      </w:r>
      <w:r w:rsidRPr="00683F64">
        <w:t>dentifying structural barriers affecting accessibility implementation</w:t>
      </w:r>
    </w:p>
    <w:p w14:paraId="55D14486" w14:textId="77777777" w:rsidR="006579C9" w:rsidRPr="00683F64" w:rsidRDefault="006579C9" w:rsidP="00867CFE">
      <w:pPr>
        <w:pStyle w:val="Heading5"/>
      </w:pPr>
      <w:r>
        <w:t xml:space="preserve">4. </w:t>
      </w:r>
      <w:r w:rsidRPr="00683F64">
        <w:t>Strategic Leadership</w:t>
      </w:r>
    </w:p>
    <w:p w14:paraId="583E9A93" w14:textId="77777777" w:rsidR="006579C9" w:rsidRPr="00683F64" w:rsidRDefault="006579C9" w:rsidP="003A7CA5">
      <w:pPr>
        <w:pStyle w:val="BodyCopy"/>
      </w:pPr>
      <w:r w:rsidRPr="00683F64">
        <w:t>At the strategic leadership level, individuals influence organizational systems supporting sustained accessibility capability. Individuals contribute to institutional alignment between governance structures, resource allocation, and accessibility objectives.</w:t>
      </w:r>
    </w:p>
    <w:p w14:paraId="74BCE7B2" w14:textId="77777777" w:rsidR="006579C9" w:rsidRPr="00683F64" w:rsidRDefault="006579C9" w:rsidP="003A7CA5">
      <w:pPr>
        <w:pStyle w:val="BodyCopy"/>
      </w:pPr>
      <w:r w:rsidRPr="00683F64">
        <w:lastRenderedPageBreak/>
        <w:t>Indicative practices include:</w:t>
      </w:r>
    </w:p>
    <w:p w14:paraId="0E117FE5" w14:textId="77777777" w:rsidR="006579C9" w:rsidRDefault="006579C9" w:rsidP="003A7CA5">
      <w:pPr>
        <w:pStyle w:val="ListParagraph"/>
      </w:pPr>
      <w:r w:rsidRPr="00683F64">
        <w:t>supporting integration of accessibility considerations into organizational strategy</w:t>
      </w:r>
    </w:p>
    <w:p w14:paraId="50641AC7" w14:textId="77777777" w:rsidR="006579C9" w:rsidRDefault="006579C9" w:rsidP="003A7CA5">
      <w:pPr>
        <w:pStyle w:val="ListParagraph"/>
      </w:pPr>
      <w:r w:rsidRPr="00683F64">
        <w:t>promoting accountability structures supporting accessibility implementation</w:t>
      </w:r>
    </w:p>
    <w:p w14:paraId="2B64330A" w14:textId="77777777" w:rsidR="006579C9" w:rsidRDefault="006579C9" w:rsidP="003A7CA5">
      <w:pPr>
        <w:pStyle w:val="ListParagraph"/>
      </w:pPr>
      <w:r w:rsidRPr="00683F64">
        <w:t>aligning resource allocation with accessibility priorities</w:t>
      </w:r>
    </w:p>
    <w:p w14:paraId="3E06CBF1" w14:textId="77777777" w:rsidR="006579C9" w:rsidRDefault="006579C9" w:rsidP="003A7CA5">
      <w:pPr>
        <w:pStyle w:val="ListParagraph"/>
      </w:pPr>
      <w:r w:rsidRPr="00683F64">
        <w:t>supporting development of performance expectations related to accessibility responsibilities</w:t>
      </w:r>
    </w:p>
    <w:p w14:paraId="25CAB711" w14:textId="77777777" w:rsidR="006579C9" w:rsidRDefault="006579C9" w:rsidP="003A7CA5">
      <w:pPr>
        <w:pStyle w:val="ListParagraph"/>
      </w:pPr>
      <w:r w:rsidRPr="00683F64">
        <w:t>promoting procurement practices incorporating accessibility criteria</w:t>
      </w:r>
      <w:r w:rsidRPr="00683F64">
        <w:br/>
        <w:t>supporting institutional learning processes related to accessibility implementation</w:t>
      </w:r>
    </w:p>
    <w:p w14:paraId="6CDDCAD5" w14:textId="77777777" w:rsidR="006579C9" w:rsidRDefault="006579C9" w:rsidP="003A7CA5">
      <w:pPr>
        <w:pStyle w:val="ListParagraph"/>
        <w:sectPr w:rsidR="006579C9" w:rsidSect="006579C9">
          <w:pgSz w:w="12240" w:h="15840"/>
          <w:pgMar w:top="1440" w:right="1440" w:bottom="1440" w:left="1440" w:header="720" w:footer="720" w:gutter="0"/>
          <w:cols w:space="720"/>
          <w:docGrid w:linePitch="360"/>
        </w:sectPr>
      </w:pPr>
      <w:r w:rsidRPr="00683F64">
        <w:t>promoting clarity regarding distribution of accessibility responsibilities across organizational ro</w:t>
      </w:r>
      <w:r>
        <w:t>le</w:t>
      </w:r>
    </w:p>
    <w:p w14:paraId="13BB4E69" w14:textId="3EBE83CD" w:rsidR="006579C9" w:rsidRDefault="006579C9" w:rsidP="00CB40B5">
      <w:pPr>
        <w:pStyle w:val="Heading3"/>
      </w:pPr>
      <w:bookmarkStart w:id="39" w:name="_Toc243923424"/>
      <w:r>
        <w:lastRenderedPageBreak/>
        <w:t>Discussion</w:t>
      </w:r>
      <w:bookmarkEnd w:id="39"/>
    </w:p>
    <w:p w14:paraId="13BBBD88" w14:textId="77777777" w:rsidR="006579C9" w:rsidRPr="00597DF0" w:rsidRDefault="006579C9" w:rsidP="003A7CA5">
      <w:pPr>
        <w:pStyle w:val="BodyCopy"/>
      </w:pPr>
      <w:r w:rsidRPr="00597DF0">
        <w:t>This study contributes to emerging scholarship conceptualizing accessibility as an organizational capability shaped by interactions between professional practices, institutional structures, technological systems, and participation processes. The co-design process demonstrated that accessibility challenges are frequently experienced not as isolated technical issues but as outcomes of decisions distributed across multiple organizational functions. These findings reinforce the importance of approaches that support coordination between specialist accessibility expertise and broader organizational awareness of how everyday decisions influence accessibility outcomes.</w:t>
      </w:r>
    </w:p>
    <w:p w14:paraId="2462C467" w14:textId="77777777" w:rsidR="006579C9" w:rsidRDefault="006579C9" w:rsidP="003A7CA5">
      <w:pPr>
        <w:pStyle w:val="BodyCopy"/>
      </w:pPr>
      <w:r w:rsidRPr="00597DF0">
        <w:t>The framework responds to a recurring tension identified across iterations: accessibility expertise remains essential, yet accessibility outcomes are often shaped by individuals who do not hold formal accessibility roles. Decisions related to communication practices, project planning, hiring processes, digital systems,</w:t>
      </w:r>
      <w:r>
        <w:t xml:space="preserve"> procurement</w:t>
      </w:r>
      <w:r w:rsidRPr="00597DF0">
        <w:t xml:space="preserve"> and governance structures may introduce or reduce barriers depending on whether accessibility considerations are integrated early or addressed reactively. Conceptualizing accessibility as a distributed organizational capability helps clarify how responsibility may be shared without diminishing the importance of specialized professional expertise.</w:t>
      </w:r>
    </w:p>
    <w:p w14:paraId="7C156D85" w14:textId="77777777" w:rsidR="006579C9" w:rsidRPr="00597DF0" w:rsidRDefault="006579C9" w:rsidP="003A7CA5">
      <w:pPr>
        <w:pStyle w:val="BodyCopy"/>
      </w:pPr>
      <w:r w:rsidRPr="00597DF0">
        <w:t>Positioning co-design as both a methodological approach and a competency outcome reflects participant emphasis on the importance of lived experience as expertise informing organizational learning processes. The findings suggest that participation processes influence not only the quality of accessibility solutions but also the legitimacy of decision-making practices. Cultural humility emerged as an important enabling condition for collaboration across differences in experience, professional background, and institutional authority.</w:t>
      </w:r>
    </w:p>
    <w:p w14:paraId="5D1779CE" w14:textId="77777777" w:rsidR="006579C9" w:rsidRPr="00597DF0" w:rsidRDefault="006579C9" w:rsidP="003A7CA5">
      <w:pPr>
        <w:pStyle w:val="BodyCopy"/>
      </w:pPr>
      <w:r w:rsidRPr="00597DF0">
        <w:lastRenderedPageBreak/>
        <w:t>The iterative structure of the framework also reflects a shift from static conceptions of accessibility toward ongoing learning processes. Accessibility implementation was frequently described by participants as requiring continuous refinement as technologies evolve, organizational processes change, and new participation contexts emerge. This perspective aligns with continuous improvement approaches commonly used in organizational development, suggesting that accessibility capability may strengthen through iterative cycles of reflection, adaptation, and coordination across roles.</w:t>
      </w:r>
    </w:p>
    <w:p w14:paraId="68A8C2A7" w14:textId="77777777" w:rsidR="006579C9" w:rsidRPr="00597DF0" w:rsidRDefault="006579C9" w:rsidP="003A7CA5">
      <w:pPr>
        <w:pStyle w:val="BodyCopy"/>
      </w:pPr>
      <w:r w:rsidRPr="00597DF0">
        <w:t>The framework contributes a structured approach for interpreting how accessibility considerations intersect across communication environments, planning processes, digital systems, governance structures, and participation practices. Rather than prescribing uniform competency expectations across roles, the framework supports contextual interpretation of how accessibility responsibilities may appear within different professional scopes of influence.</w:t>
      </w:r>
    </w:p>
    <w:p w14:paraId="2D40734F" w14:textId="77777777" w:rsidR="006579C9" w:rsidRPr="00597DF0" w:rsidRDefault="006579C9" w:rsidP="003A7CA5">
      <w:pPr>
        <w:pStyle w:val="BodyCopy"/>
      </w:pPr>
      <w:r w:rsidRPr="00597DF0">
        <w:t>Importantly, the framework does not assume that accessibility competency can be reduced to technical compliance knowledge alone. Instead, findings suggest that accessibility capability is strengthened when relational, structural, and technical dimensions are considered together. This includes recognizing lived experience as expertise, supporting proactive design approaches, enabling inclusive participation conditions, strengthening digital accessibility practices, and clarifying organizational accountability structures.</w:t>
      </w:r>
    </w:p>
    <w:p w14:paraId="063680C2" w14:textId="30DE1FBB" w:rsidR="006579C9" w:rsidRDefault="006579C9" w:rsidP="00994626">
      <w:pPr>
        <w:pStyle w:val="BodyCopy"/>
      </w:pPr>
      <w:r w:rsidRPr="00597DF0">
        <w:t xml:space="preserve">Taken together, the findings suggest that accessibility maturity may be supported through approaches that combine specialist expertise, distributed awareness, and institutional alignment. The framework therefore contributes to ongoing efforts to articulate accessibility as a shared organizational practice supported by collaboration, iterative learning, and </w:t>
      </w:r>
      <w:r w:rsidRPr="00597DF0">
        <w:lastRenderedPageBreak/>
        <w:t>sustained commitment to reducing barriers across diverse participation contexts.</w:t>
      </w:r>
      <w:r>
        <w:br w:type="page"/>
      </w:r>
    </w:p>
    <w:p w14:paraId="73F64341" w14:textId="41352E87" w:rsidR="006579C9" w:rsidRPr="00786A2A" w:rsidRDefault="006579C9" w:rsidP="00CB40B5">
      <w:pPr>
        <w:pStyle w:val="Heading3"/>
      </w:pPr>
      <w:bookmarkStart w:id="40" w:name="_Toc243923425"/>
      <w:r w:rsidRPr="00786A2A">
        <w:lastRenderedPageBreak/>
        <w:t>Implications for Practice and Policy</w:t>
      </w:r>
      <w:bookmarkEnd w:id="40"/>
    </w:p>
    <w:p w14:paraId="497EF7F8" w14:textId="77777777" w:rsidR="006579C9" w:rsidRPr="00786A2A" w:rsidRDefault="006579C9" w:rsidP="00AA0F28">
      <w:pPr>
        <w:pStyle w:val="BodyCopy"/>
      </w:pPr>
      <w:r w:rsidRPr="00786A2A">
        <w:t>The Accessibility Competency Framework is intended to support dialogue, interpretation, and coordination across organizational roles whose decisions influence accessibility outcomes. Rather than functioning as a compliance checklist or technical standard, the framework provides a structure that may assist organizations in identifying where accessibility considerations intersect with planning processes, communication practices, digital systems, and governance structures.</w:t>
      </w:r>
    </w:p>
    <w:p w14:paraId="26FBB98A" w14:textId="77777777" w:rsidR="006579C9" w:rsidRPr="00786A2A" w:rsidRDefault="006579C9" w:rsidP="00AA0F28">
      <w:pPr>
        <w:pStyle w:val="BodyCopy"/>
      </w:pPr>
      <w:r w:rsidRPr="00786A2A">
        <w:t>For organizational practice, the framework may support internal reflection regarding how accessibility responsibilities are currently distributed and where additional clarity may strengthen implementation consistency. The competency progression structure may assist organizations in identifying how accessibility expectations vary across roles with different scopes of influence, supporting role-appropriate interpretation rather than uniform competency requirements. This may be particularly relevant in hybrid work environments where participation conditions are shaped through interactions between digital platforms, communication practices, and organizational processes.</w:t>
      </w:r>
    </w:p>
    <w:p w14:paraId="2209B1CF" w14:textId="77777777" w:rsidR="006579C9" w:rsidRPr="00786A2A" w:rsidRDefault="006579C9" w:rsidP="00AA0F28">
      <w:pPr>
        <w:pStyle w:val="BodyCopy"/>
      </w:pPr>
      <w:r w:rsidRPr="00786A2A">
        <w:t>The framework may also support integration of accessibility considerations into workforce development and professional learning initiatives. By expressing competencies in role-transferable language, the framework may help organizations identify opportunities to incorporate accessibility awareness into existing professional development structures without requiring all roles to develop specialist technical expertise. At the same time, the framework reinforces the importance of collaboration with accessibility professionals whose expertise supports technical implementation, evaluation, and remediation activities.</w:t>
      </w:r>
    </w:p>
    <w:p w14:paraId="68F72165" w14:textId="77777777" w:rsidR="006579C9" w:rsidRPr="00786A2A" w:rsidRDefault="006579C9" w:rsidP="00AA0F28">
      <w:pPr>
        <w:pStyle w:val="BodyCopy"/>
      </w:pPr>
      <w:r w:rsidRPr="00786A2A">
        <w:t xml:space="preserve">Policy stakeholders may find the framework useful as an interpretive tool that helps translate legislative accessibility objectives into organizational </w:t>
      </w:r>
      <w:r w:rsidRPr="00786A2A">
        <w:lastRenderedPageBreak/>
        <w:t>practices. Legislative frameworks such as the Accessible Canada Act establish broad expectations regarding barrier identification, prevention, and removal, but do not prescribe how responsibilities should be coordinated across organizational functions. The competency domains provide one possible structure for interpreting how accessibility considerations may intersect with procurement decisions, employment practices, communication environments, digital systems, and governance mechanisms.</w:t>
      </w:r>
    </w:p>
    <w:p w14:paraId="6BC91FAB" w14:textId="77777777" w:rsidR="006579C9" w:rsidRPr="00786A2A" w:rsidRDefault="006579C9" w:rsidP="00AA0F28">
      <w:pPr>
        <w:pStyle w:val="BodyCopy"/>
      </w:pPr>
      <w:r w:rsidRPr="00786A2A">
        <w:t>Findings related to procurement processes suggest that accessibility considerations embedded within purchasing decisions may influence accessibility outcomes across multiple organizational environments, including enterprise technologies, workplace tools, communication platforms, and service delivery systems (CNIB, 2023b). Similarly, emerging research examining artificial intelligence highlights the growing importance of considering accessibility implications in technology adoption decisions, including both potential benefits of AI as assistive technology and risks related to inaccessible or biased automated systems (CNIB, 2024).</w:t>
      </w:r>
    </w:p>
    <w:p w14:paraId="1DD0C641" w14:textId="77777777" w:rsidR="006579C9" w:rsidRPr="00786A2A" w:rsidRDefault="006579C9" w:rsidP="00AA0F28">
      <w:pPr>
        <w:pStyle w:val="BodyCopy"/>
      </w:pPr>
      <w:r w:rsidRPr="00786A2A">
        <w:t>The framework may also support dialogue between accessibility specialists and professionals working in adjacent fields such as human resources, communications, information technology, research, procurement, and organizational leadership. By clarifying how accessibility considerations may appear across professional contexts, the framework may contribute to shared understanding of how accessibility capability develops through coordination rather than through isolated initiatives.</w:t>
      </w:r>
    </w:p>
    <w:p w14:paraId="6D526B13" w14:textId="77777777" w:rsidR="006579C9" w:rsidRPr="00786A2A" w:rsidRDefault="006579C9" w:rsidP="00AA0F28">
      <w:pPr>
        <w:pStyle w:val="BodyCopy"/>
      </w:pPr>
      <w:r w:rsidRPr="00786A2A">
        <w:t xml:space="preserve">Importantly, the framework is not intended to replace specialized accessibility competency frameworks or professional standards. Rather, it complements existing bodies of knowledge by providing a structure that may support collaboration across roles whose decisions influence accessibility conditions. This may be particularly relevant for organizations </w:t>
      </w:r>
      <w:r w:rsidRPr="00786A2A">
        <w:lastRenderedPageBreak/>
        <w:t>seeking to strengthen accessibility maturity through approaches that integrate technical expertise with organizational learning processes.</w:t>
      </w:r>
    </w:p>
    <w:p w14:paraId="0DE2B257" w14:textId="77777777" w:rsidR="006579C9" w:rsidRPr="00786A2A" w:rsidRDefault="006579C9" w:rsidP="00AA0F28">
      <w:pPr>
        <w:pStyle w:val="BodyCopy"/>
      </w:pPr>
      <w:r w:rsidRPr="00786A2A">
        <w:t>The framework therefore contributes a conceptual resource that may support policy interpretation, professional dialogue, and organizational reflection regarding how accessibility responsibilities are shared, coordinated, and sustained over time.</w:t>
      </w:r>
    </w:p>
    <w:p w14:paraId="4CE05F97" w14:textId="77777777" w:rsidR="006579C9" w:rsidRDefault="006579C9" w:rsidP="006579C9">
      <w:pPr>
        <w:sectPr w:rsidR="006579C9" w:rsidSect="006579C9">
          <w:pgSz w:w="12240" w:h="15840"/>
          <w:pgMar w:top="1440" w:right="1440" w:bottom="1440" w:left="1440" w:header="720" w:footer="720" w:gutter="0"/>
          <w:cols w:space="720"/>
          <w:docGrid w:linePitch="360"/>
        </w:sectPr>
      </w:pPr>
    </w:p>
    <w:p w14:paraId="56BFEF3B" w14:textId="75E709EA" w:rsidR="006579C9" w:rsidRPr="00404836" w:rsidRDefault="006579C9" w:rsidP="00CB40B5">
      <w:pPr>
        <w:pStyle w:val="Heading3"/>
      </w:pPr>
      <w:bookmarkStart w:id="41" w:name="_Toc243923426"/>
      <w:r w:rsidRPr="00404836">
        <w:lastRenderedPageBreak/>
        <w:t>Limitations</w:t>
      </w:r>
      <w:bookmarkEnd w:id="41"/>
    </w:p>
    <w:p w14:paraId="1C49A04C" w14:textId="77777777" w:rsidR="006579C9" w:rsidRPr="00404836" w:rsidRDefault="006579C9" w:rsidP="00AA0F28">
      <w:pPr>
        <w:pStyle w:val="BodyCopy"/>
      </w:pPr>
      <w:r w:rsidRPr="00404836">
        <w:t>Several limitations should be considered when interpreting the findings presented in this study. First, the framework was developed through a qualitative co-design process involving participants with lived experience of disability, accessibility practitioners, and organizational contributors primarily situated within the Canadian context. While inclusion of external participants in Iteration 2 strengthens the relevance of the framework beyond a single organizational setting, the findings may not fully represent perspectives from all sectors, geographic regions, or institutional contexts.</w:t>
      </w:r>
    </w:p>
    <w:p w14:paraId="4F9752BC" w14:textId="77777777" w:rsidR="006579C9" w:rsidRPr="00404836" w:rsidRDefault="006579C9" w:rsidP="00AA0F28">
      <w:pPr>
        <w:pStyle w:val="BodyCopy"/>
      </w:pPr>
      <w:r w:rsidRPr="00404836">
        <w:t>Second, co-design methodologies prioritize depth of engagement and contextual insight rather than statistical generalizability. The framework reflects themes that emerged consistently across iterations; however, additional research may be needed to examine how the framework is interpreted across organizations with varying levels of accessibility maturity or differing levels of familiarity with accessibility concepts.</w:t>
      </w:r>
    </w:p>
    <w:p w14:paraId="7B4DC8F1" w14:textId="77777777" w:rsidR="006579C9" w:rsidRPr="00404836" w:rsidRDefault="006579C9" w:rsidP="00AA0F28">
      <w:pPr>
        <w:pStyle w:val="BodyCopy"/>
      </w:pPr>
      <w:r w:rsidRPr="00404836">
        <w:t>Third, the framework is conceptual rather than evaluative. The competency levels are intended to support interpretation and dialogue rather than to function as a measurement instrument or certification mechanism. Organizations may adapt terminology, examples, or competency emphasis depending on sector-specific regulatory requirements, professional norms, or operational constraints.</w:t>
      </w:r>
    </w:p>
    <w:p w14:paraId="7222ACCD" w14:textId="77777777" w:rsidR="006579C9" w:rsidRPr="00404836" w:rsidRDefault="006579C9" w:rsidP="00AA0F28">
      <w:pPr>
        <w:pStyle w:val="BodyCopy"/>
      </w:pPr>
      <w:r w:rsidRPr="00404836">
        <w:t>Fourth, while the framework incorporates considerations related to digital accessibility, hybrid participation environments, and emerging technologies such as artificial intelligence, technological change continues to evolve rapidly. Future developments in enterprise systems, assistive technologies, and automated decision-making tools may influence how accessibility competencies are interpreted and applied.</w:t>
      </w:r>
    </w:p>
    <w:p w14:paraId="374C1A00" w14:textId="77777777" w:rsidR="006579C9" w:rsidRPr="00404836" w:rsidRDefault="006579C9" w:rsidP="00AA0F28">
      <w:pPr>
        <w:pStyle w:val="BodyCopy"/>
      </w:pPr>
      <w:r w:rsidRPr="00404836">
        <w:lastRenderedPageBreak/>
        <w:t>Finally, the framework does not attempt to replicate or replace specialized technical accessibility standards or professional competency frameworks. Rather, it is intended to complement existing bodies of knowledge by supporting shared understanding of how accessibility considerations intersect with diverse organizational roles. Interpretation of the framework should therefore be understood as part of an evolving dialogue regarding how accessibility capability develops across sociotechnical systems.</w:t>
      </w:r>
    </w:p>
    <w:p w14:paraId="7D8E50A2" w14:textId="77777777" w:rsidR="006579C9" w:rsidRDefault="006579C9" w:rsidP="00AA0F28">
      <w:pPr>
        <w:pStyle w:val="BodyCopy"/>
      </w:pPr>
      <w:r>
        <w:br w:type="page"/>
      </w:r>
    </w:p>
    <w:p w14:paraId="57B84080" w14:textId="33F002AA" w:rsidR="006579C9" w:rsidRPr="00386F59" w:rsidRDefault="006579C9" w:rsidP="00CB40B5">
      <w:pPr>
        <w:pStyle w:val="Heading3"/>
      </w:pPr>
      <w:bookmarkStart w:id="42" w:name="_Toc243923427"/>
      <w:r w:rsidRPr="00386F59">
        <w:lastRenderedPageBreak/>
        <w:t>Future Research</w:t>
      </w:r>
      <w:bookmarkEnd w:id="42"/>
    </w:p>
    <w:p w14:paraId="528F4CD5" w14:textId="77777777" w:rsidR="006579C9" w:rsidRPr="00386F59" w:rsidRDefault="006579C9" w:rsidP="00AA0F28">
      <w:pPr>
        <w:pStyle w:val="BodyCopy"/>
      </w:pPr>
      <w:r w:rsidRPr="00386F59">
        <w:t xml:space="preserve">The framework presented in this </w:t>
      </w:r>
      <w:r>
        <w:t>project</w:t>
      </w:r>
      <w:r w:rsidRPr="00386F59">
        <w:t xml:space="preserve"> provides a conceptual structure for understanding accessibility as an organizational capability; however, additional research is needed to examine how competency frameworks of this nature are interpreted and applied across diverse institutional contexts. Future studies may explore how organizations operationalize distributed accessibility competency in practice, including how responsibilities are coordinated across specialist and non-specialist roles.</w:t>
      </w:r>
    </w:p>
    <w:p w14:paraId="5E837B84" w14:textId="77777777" w:rsidR="006579C9" w:rsidRPr="00386F59" w:rsidRDefault="006579C9" w:rsidP="00AA0F28">
      <w:pPr>
        <w:pStyle w:val="BodyCopy"/>
      </w:pPr>
      <w:r w:rsidRPr="00386F59">
        <w:t>Empirical research examining implementation of the framework across sectors such as public administration, higher education, private industry, and non-profit organizations may contribute to understanding how organizational context influences interpretation of competency language, governance structures, and professional development pathways. Comparative studies may also examine how accessibility maturity evolves over time as organizations integrate accessibility considerations into procurement processes, digital transformation initiatives, and workforce development strategies.</w:t>
      </w:r>
    </w:p>
    <w:p w14:paraId="7526659F" w14:textId="77777777" w:rsidR="006579C9" w:rsidRPr="00386F59" w:rsidRDefault="006579C9" w:rsidP="00AA0F28">
      <w:pPr>
        <w:pStyle w:val="BodyCopy"/>
      </w:pPr>
      <w:r w:rsidRPr="00386F59">
        <w:t>Further research may also examine how emerging technologies influence accessibility competency requirements. Artificial intelligence systems are increasingly integrated into recruitment platforms, information systems, communication tools, and decision-making environments. Future work may explore how accessibility considerations related to automated systems, algorithmic decision-making, and AI-enabled assistive technologies influence competency expectations across roles (CNIB, 2024). As AI technologies evolve, accessibility competency frameworks may require refinement to address both potential accessibility benefits and emerging risks.</w:t>
      </w:r>
    </w:p>
    <w:p w14:paraId="5D156977" w14:textId="77777777" w:rsidR="006579C9" w:rsidRPr="00386F59" w:rsidRDefault="006579C9" w:rsidP="00AA0F28">
      <w:pPr>
        <w:pStyle w:val="BodyCopy"/>
      </w:pPr>
      <w:r w:rsidRPr="00386F59">
        <w:t xml:space="preserve">The framework currently integrates built environment considerations primarily within communication and participation contexts. Future research </w:t>
      </w:r>
      <w:r w:rsidRPr="00386F59">
        <w:lastRenderedPageBreak/>
        <w:t>may examine whether built environment accessibility competencies warrant further expansion as a distinct domain or subdomain, particularly in sectors where physical environments strongly influence participation conditions.</w:t>
      </w:r>
    </w:p>
    <w:p w14:paraId="197BD8DE" w14:textId="77777777" w:rsidR="006579C9" w:rsidRPr="00386F59" w:rsidRDefault="006579C9" w:rsidP="00AA0F28">
      <w:pPr>
        <w:pStyle w:val="BodyCopy"/>
      </w:pPr>
      <w:r w:rsidRPr="00386F59">
        <w:t>Additional research may also explore approaches for evaluating competency development and organizational accessibility capability over time. This may include development of qualitative indicators, maturity models, or reflective assessment tools supporting organizations in identifying areas for continuous improvement.</w:t>
      </w:r>
    </w:p>
    <w:p w14:paraId="3F3B7FEF" w14:textId="77777777" w:rsidR="006579C9" w:rsidRPr="00386F59" w:rsidRDefault="006579C9" w:rsidP="00AA0F28">
      <w:pPr>
        <w:pStyle w:val="BodyCopy"/>
      </w:pPr>
      <w:r w:rsidRPr="00386F59">
        <w:t>Finally, future work may examine how co-design methodologies contribute not only to framework development but also to ongoing organizational learning processes. Longitudinal studies examining how participation structures evolve alongside accessibility capability may further contribute to scholarship examining relationships between epistemic justice, organizational change, and inclusive design practices.</w:t>
      </w:r>
    </w:p>
    <w:p w14:paraId="68A7D202" w14:textId="77777777" w:rsidR="006579C9" w:rsidRPr="00386F59" w:rsidRDefault="006579C9" w:rsidP="00AA0F28">
      <w:pPr>
        <w:pStyle w:val="BodyCopy"/>
      </w:pPr>
      <w:r w:rsidRPr="00386F59">
        <w:t>Together, these areas of inquiry may support continued refinement of accessibility competency frameworks and contribute to broader understanding of how accessibility capability develops across sociotechnical systems.</w:t>
      </w:r>
    </w:p>
    <w:p w14:paraId="09307CEF" w14:textId="77777777" w:rsidR="006579C9" w:rsidRDefault="006579C9" w:rsidP="006579C9">
      <w:pPr>
        <w:sectPr w:rsidR="006579C9" w:rsidSect="006579C9">
          <w:pgSz w:w="12240" w:h="15840"/>
          <w:pgMar w:top="1440" w:right="1440" w:bottom="1440" w:left="1440" w:header="720" w:footer="720" w:gutter="0"/>
          <w:cols w:space="720"/>
          <w:docGrid w:linePitch="360"/>
        </w:sectPr>
      </w:pPr>
    </w:p>
    <w:p w14:paraId="24358703" w14:textId="26D34928" w:rsidR="006579C9" w:rsidRPr="002C6827" w:rsidRDefault="006579C9" w:rsidP="00CB40B5">
      <w:pPr>
        <w:pStyle w:val="Heading3"/>
        <w:rPr>
          <w:rFonts w:eastAsiaTheme="minorHAnsi"/>
        </w:rPr>
      </w:pPr>
      <w:bookmarkStart w:id="43" w:name="_Toc243923428"/>
      <w:r w:rsidRPr="002C6827">
        <w:rPr>
          <w:rFonts w:eastAsiaTheme="minorHAnsi"/>
        </w:rPr>
        <w:lastRenderedPageBreak/>
        <w:t>Conclusion</w:t>
      </w:r>
      <w:bookmarkEnd w:id="43"/>
    </w:p>
    <w:p w14:paraId="34893BAF" w14:textId="77777777" w:rsidR="006579C9" w:rsidRPr="002C6827" w:rsidRDefault="006579C9" w:rsidP="00AA0F28">
      <w:pPr>
        <w:pStyle w:val="BodyCopy"/>
      </w:pPr>
      <w:r w:rsidRPr="002C6827">
        <w:t>Accessibility is often discussed as a requirement, a standard, or a technical specification. Yet the findings from this study suggest that accessibility is more accurately understood as an ongoing organizational learning process shaped by relationships, decisions, environments, and systems. Through three iterations of co-design involving people with lived experience of disability, accessibility practitioners, and interdisciplinary contributors, this research examined how accessibility competency is experienced not as a single skill set, but as a shared organizational capability emerging across roles and contexts.</w:t>
      </w:r>
    </w:p>
    <w:p w14:paraId="0FC367E4" w14:textId="77777777" w:rsidR="006579C9" w:rsidRPr="002C6827" w:rsidRDefault="006579C9" w:rsidP="00AA0F28">
      <w:pPr>
        <w:pStyle w:val="BodyCopy"/>
      </w:pPr>
      <w:r w:rsidRPr="002C6827">
        <w:t>The resulting framework reflects the insight that accessibility outcomes are rarely determined by individual expertise alone. Rather, accessibility is influenced by how organizations plan, communicate, design, procure, govern, and collaborate. Decisions that appear routine within organizational workflows may significantly influence whether environments, services, and information are usable by diverse populations. In this sense, accessibility is not solely a matter of compliance, nor solely the responsibility of specialists, but a coordinated practice requiring collaboration between specialized expertise and distributed awareness across professional roles.</w:t>
      </w:r>
    </w:p>
    <w:p w14:paraId="56755BF6" w14:textId="77777777" w:rsidR="006579C9" w:rsidRPr="002C6827" w:rsidRDefault="006579C9" w:rsidP="00AA0F28">
      <w:pPr>
        <w:pStyle w:val="BodyCopy"/>
      </w:pPr>
      <w:r w:rsidRPr="002C6827">
        <w:t>The co-design process highlighted the importance of recognizing lived experience as expertise that informs how accessibility challenges are understood and addressed. Participants emphasized that accessibility initiatives are strengthened when people with lived experience of disability are engaged not as passive recipients of services but as contributors to knowledge, decision-making, and design processes. Cultural humility emerged as an important competency supporting this collaboration, reinforcing the understanding that accessibility practice requires ongoing reflexivity regarding power, assumptions, and institutional norms.</w:t>
      </w:r>
    </w:p>
    <w:p w14:paraId="6F55C6CE" w14:textId="77777777" w:rsidR="006579C9" w:rsidRPr="002C6827" w:rsidRDefault="006579C9" w:rsidP="00AA0F28">
      <w:pPr>
        <w:pStyle w:val="BodyCopy"/>
      </w:pPr>
      <w:r w:rsidRPr="002C6827">
        <w:lastRenderedPageBreak/>
        <w:t>The framework presented in this paper does not attempt to resolve all questions related to accessibility implementation. Rather, it offers one structured approach for supporting dialogue regarding how accessibility responsibilities are interpreted, coordinated, and sustained across organizational contexts. By articulating accessibility competency across domains related to co-design, proactive design, inclusive participation environments, digital systems, and governance structures, the framework contributes to broader efforts to understand accessibility as a sociotechnical capability supported by both professional expertise and organizational alignment.</w:t>
      </w:r>
    </w:p>
    <w:p w14:paraId="48B8AFE4" w14:textId="77777777" w:rsidR="006579C9" w:rsidRPr="002C6827" w:rsidRDefault="006579C9" w:rsidP="00AA0F28">
      <w:pPr>
        <w:pStyle w:val="BodyCopy"/>
      </w:pPr>
      <w:r w:rsidRPr="002C6827">
        <w:t>Importantly, the framework affirms the continued importance of specialized accessibility knowledge while recognizing that accessibility outcomes are shaped through interactions across many roles whose decisions influence participation conditions. Strengthening accessibility capability therefore involves not only developing technical expertise but also cultivating shared understanding of how everyday practices contribute to the presence or absence of barriers.</w:t>
      </w:r>
    </w:p>
    <w:p w14:paraId="70409CC2" w14:textId="77777777" w:rsidR="006579C9" w:rsidRPr="002C6827" w:rsidRDefault="006579C9" w:rsidP="00AA0F28">
      <w:pPr>
        <w:pStyle w:val="BodyCopy"/>
      </w:pPr>
      <w:r w:rsidRPr="002C6827">
        <w:t>Accessibility work is iterative. Organizational contexts evolve, technologies change, participation environments shift, and new barriers emerge. Competency development therefore involves not only acquiring knowledge, but sustaining learning processes that enable organizations to adapt, reflect, and improve over time. Co-design approaches may support these processes by strengthening relationships between lived experience expertise, professional practice, and institutional learning.</w:t>
      </w:r>
    </w:p>
    <w:p w14:paraId="79CAC3FF" w14:textId="77777777" w:rsidR="006579C9" w:rsidRPr="002C6827" w:rsidRDefault="006579C9" w:rsidP="00AA0F28">
      <w:pPr>
        <w:pStyle w:val="BodyCopy"/>
      </w:pPr>
      <w:r w:rsidRPr="002C6827">
        <w:t xml:space="preserve">Ultimately, accessibility is not achieved through a single framework, policy, or intervention. It is developed through sustained commitment to collaboration, accountability, and continuous improvement. By contributing a structured approach for interpreting accessibility as a shared organizational capability, this research seeks to support ongoing efforts to </w:t>
      </w:r>
      <w:r w:rsidRPr="002C6827">
        <w:lastRenderedPageBreak/>
        <w:t>reduce barriers and to expand participation across diverse environments and communities.</w:t>
      </w:r>
    </w:p>
    <w:p w14:paraId="72CE01D9" w14:textId="77777777" w:rsidR="006579C9" w:rsidRPr="002C6827" w:rsidRDefault="006579C9" w:rsidP="00AA0F28">
      <w:pPr>
        <w:pStyle w:val="BodyCopy"/>
      </w:pPr>
      <w:r w:rsidRPr="002C6827">
        <w:t>This work is situated within a broader collective effort involving researchers, practitioners, advocates, policymakers, and people with lived experience of disability who continue to advance accessibility as a matter of equity, participation, and social inclusion. The framework presented here is intended to contribute to that shared work and to support continued dialogue regarding how accessibility capability may develop across sociotechnical systems over time.</w:t>
      </w:r>
    </w:p>
    <w:p w14:paraId="6429D78B" w14:textId="6A497F41" w:rsidR="00BA2D8E" w:rsidRDefault="00BA2D8E">
      <w:r>
        <w:br w:type="page"/>
      </w:r>
    </w:p>
    <w:p w14:paraId="20A3D91A" w14:textId="77777777" w:rsidR="00BA2D8E" w:rsidRDefault="00BA2D8E" w:rsidP="006579C9">
      <w:pPr>
        <w:sectPr w:rsidR="00BA2D8E" w:rsidSect="006579C9">
          <w:pgSz w:w="12240" w:h="15840"/>
          <w:pgMar w:top="1440" w:right="1440" w:bottom="1440" w:left="1440" w:header="720" w:footer="720" w:gutter="0"/>
          <w:cols w:space="720"/>
          <w:docGrid w:linePitch="360"/>
        </w:sectPr>
      </w:pPr>
    </w:p>
    <w:p w14:paraId="343ED71F" w14:textId="6DFCD290" w:rsidR="006579C9" w:rsidRDefault="006579C9" w:rsidP="00CB40B5">
      <w:pPr>
        <w:pStyle w:val="Heading3"/>
      </w:pPr>
      <w:bookmarkStart w:id="44" w:name="_Toc243923429"/>
      <w:r w:rsidRPr="00944C8C">
        <w:lastRenderedPageBreak/>
        <w:t>Accessibility Competency Framework: Practical Reference</w:t>
      </w:r>
      <w:bookmarkEnd w:id="44"/>
    </w:p>
    <w:p w14:paraId="69CFA21E" w14:textId="0D54D927" w:rsidR="006579C9" w:rsidRPr="00346E1B" w:rsidRDefault="006579C9" w:rsidP="001712F8">
      <w:pPr>
        <w:pStyle w:val="BodyCopy"/>
      </w:pPr>
      <w:r w:rsidRPr="00346E1B">
        <w:t xml:space="preserve">While </w:t>
      </w:r>
      <w:r w:rsidR="00F345CD">
        <w:t xml:space="preserve">the chapter </w:t>
      </w:r>
      <w:r w:rsidR="007A5361" w:rsidRPr="007A5361">
        <w:t>Revised Accessibility Competency Framework</w:t>
      </w:r>
      <w:r w:rsidR="007A5361">
        <w:t xml:space="preserve"> </w:t>
      </w:r>
      <w:r w:rsidRPr="00346E1B">
        <w:t>presents the Accessibility Competency Framework in narrative form to support conceptual clarity and interpretability across roles, organizations often require formats that allow for quick reference, navigation, and practical application. Competency frameworks are frequently used in professional learning contexts, workforce development initiatives, and organizational planning processes where stakeholders benefit from concise summaries that support interpretation without requiring detailed review of the full conceptual discussion.</w:t>
      </w:r>
    </w:p>
    <w:p w14:paraId="5D8B3B47" w14:textId="1D63DDB1" w:rsidR="006579C9" w:rsidRPr="00346E1B" w:rsidRDefault="006579C9" w:rsidP="001712F8">
      <w:pPr>
        <w:pStyle w:val="BodyCopy"/>
      </w:pPr>
      <w:r w:rsidRPr="00346E1B">
        <w:t xml:space="preserve">The following synthesis presents the framework in a condensed format designed to support usability across roles and functions. The structure is intended to complement, rather than replace, the narrative descriptions provided in </w:t>
      </w:r>
      <w:r w:rsidR="00E07E21">
        <w:t xml:space="preserve">the chapter </w:t>
      </w:r>
      <w:r w:rsidR="00E07E21" w:rsidRPr="007A5361">
        <w:t>Revised Accessibility Competency Framework</w:t>
      </w:r>
      <w:r w:rsidRPr="00346E1B">
        <w:t>. The summary highlights the five competency domains and the four developmental levels through a format that supports rapid orientation, role mapping, and dialogue regarding how accessibility considerations intersect with everyday professional practice.</w:t>
      </w:r>
    </w:p>
    <w:p w14:paraId="416DFF97" w14:textId="77777777" w:rsidR="006579C9" w:rsidRPr="00346E1B" w:rsidRDefault="006579C9" w:rsidP="001712F8">
      <w:pPr>
        <w:pStyle w:val="BodyCopy"/>
      </w:pPr>
      <w:r w:rsidRPr="00346E1B">
        <w:t>This applied interpretation reflects the same conceptual structure described in the revised framework and maintains alignment with the sociotechnical perspective guiding the research. The condensed representation is intended to support knowledge translation by providing an accessible overview that may be used in training contexts, professional development discussions, organizational planning activities, or introductory learning environments.</w:t>
      </w:r>
    </w:p>
    <w:p w14:paraId="33F313CE" w14:textId="07DB77E1" w:rsidR="006579C9" w:rsidRPr="00346E1B" w:rsidRDefault="006579C9" w:rsidP="001712F8">
      <w:pPr>
        <w:pStyle w:val="BodyCopy"/>
      </w:pPr>
      <w:r w:rsidRPr="00346E1B">
        <w:lastRenderedPageBreak/>
        <w:t>Importantly, the condensed structure does not imply uniform competency expectations across roles. As discussed throughout this paper, accessibility capability develops through coordination between specialist expertise and distributed responsibility across organizational functions. The summary format is therefore intended to support reflection regarding how accessibility considerations may appear within different scopes of influence rather than prescribe standardized competency requirements.</w:t>
      </w:r>
    </w:p>
    <w:p w14:paraId="6222AE10" w14:textId="6ACC8234" w:rsidR="006579C9" w:rsidRDefault="006579C9" w:rsidP="00B47B02">
      <w:pPr>
        <w:pStyle w:val="BodyCopy"/>
      </w:pPr>
      <w:r w:rsidRPr="00346E1B">
        <w:t>Organizations may adapt terminology, examples, or emphasis depending on sector context, regulatory requirements, or organizational maturity. The structure is designed to remain flexible while maintaining conceptual coherence with the co-design findings that informed development of the framework.</w:t>
      </w:r>
    </w:p>
    <w:p w14:paraId="677C854F" w14:textId="19C25A0B" w:rsidR="006579C9" w:rsidRPr="002A1163" w:rsidRDefault="00361BA2" w:rsidP="00361BA2">
      <w:pPr>
        <w:pStyle w:val="BodyCopy"/>
      </w:pPr>
      <w:r w:rsidRPr="00361BA2">
        <w:rPr>
          <w:b/>
          <w:bCs/>
        </w:rPr>
        <w:t xml:space="preserve">Table </w:t>
      </w:r>
      <w:r w:rsidRPr="00361BA2">
        <w:rPr>
          <w:b/>
          <w:bCs/>
        </w:rPr>
        <w:fldChar w:fldCharType="begin"/>
      </w:r>
      <w:r w:rsidRPr="00361BA2">
        <w:rPr>
          <w:b/>
          <w:bCs/>
        </w:rPr>
        <w:instrText xml:space="preserve"> SEQ Table \* ARABIC </w:instrText>
      </w:r>
      <w:r w:rsidRPr="00361BA2">
        <w:rPr>
          <w:b/>
          <w:bCs/>
        </w:rPr>
        <w:fldChar w:fldCharType="separate"/>
      </w:r>
      <w:r w:rsidR="00397FFE">
        <w:rPr>
          <w:b/>
          <w:bCs/>
          <w:noProof/>
        </w:rPr>
        <w:t>4</w:t>
      </w:r>
      <w:r w:rsidRPr="00361BA2">
        <w:rPr>
          <w:b/>
          <w:bCs/>
        </w:rPr>
        <w:fldChar w:fldCharType="end"/>
      </w:r>
      <w:r w:rsidRPr="00361BA2">
        <w:rPr>
          <w:b/>
          <w:bCs/>
        </w:rPr>
        <w:t>.</w:t>
      </w:r>
      <w:r>
        <w:t xml:space="preserve"> </w:t>
      </w:r>
      <w:r w:rsidRPr="00E6224D">
        <w:t>Accessibility Competency Framework Domains Overview</w:t>
      </w:r>
    </w:p>
    <w:tbl>
      <w:tblPr>
        <w:tblStyle w:val="TableGrid"/>
        <w:tblW w:w="5000" w:type="pct"/>
        <w:tblLook w:val="0620" w:firstRow="1" w:lastRow="0" w:firstColumn="0" w:lastColumn="0" w:noHBand="1" w:noVBand="1"/>
      </w:tblPr>
      <w:tblGrid>
        <w:gridCol w:w="4317"/>
        <w:gridCol w:w="4318"/>
        <w:gridCol w:w="4315"/>
      </w:tblGrid>
      <w:tr w:rsidR="00964054" w:rsidRPr="002A1163" w14:paraId="49F66128" w14:textId="77777777" w:rsidTr="00361BA2">
        <w:trPr>
          <w:cantSplit/>
          <w:tblHeader/>
        </w:trPr>
        <w:tc>
          <w:tcPr>
            <w:tcW w:w="1667" w:type="pct"/>
            <w:shd w:val="clear" w:color="auto" w:fill="FFF200"/>
            <w:hideMark/>
          </w:tcPr>
          <w:p w14:paraId="2F131E50" w14:textId="77777777" w:rsidR="006579C9" w:rsidRPr="00361BA2" w:rsidRDefault="006579C9" w:rsidP="00361BA2">
            <w:pPr>
              <w:pStyle w:val="BodyCopy"/>
              <w:rPr>
                <w:b/>
                <w:bCs/>
              </w:rPr>
            </w:pPr>
            <w:r w:rsidRPr="00361BA2">
              <w:rPr>
                <w:b/>
                <w:bCs/>
              </w:rPr>
              <w:t>Domain</w:t>
            </w:r>
          </w:p>
        </w:tc>
        <w:tc>
          <w:tcPr>
            <w:tcW w:w="1667" w:type="pct"/>
            <w:shd w:val="clear" w:color="auto" w:fill="FFF200"/>
            <w:hideMark/>
          </w:tcPr>
          <w:p w14:paraId="0B7EAB26" w14:textId="77777777" w:rsidR="006579C9" w:rsidRPr="00361BA2" w:rsidRDefault="006579C9" w:rsidP="00361BA2">
            <w:pPr>
              <w:pStyle w:val="BodyCopy"/>
              <w:rPr>
                <w:b/>
                <w:bCs/>
              </w:rPr>
            </w:pPr>
            <w:r w:rsidRPr="00361BA2">
              <w:rPr>
                <w:b/>
                <w:bCs/>
              </w:rPr>
              <w:t>Focus of competency</w:t>
            </w:r>
          </w:p>
        </w:tc>
        <w:tc>
          <w:tcPr>
            <w:tcW w:w="1667" w:type="pct"/>
            <w:shd w:val="clear" w:color="auto" w:fill="FFF200"/>
            <w:hideMark/>
          </w:tcPr>
          <w:p w14:paraId="15787A3E" w14:textId="77777777" w:rsidR="006579C9" w:rsidRPr="00361BA2" w:rsidRDefault="006579C9" w:rsidP="00361BA2">
            <w:pPr>
              <w:pStyle w:val="BodyCopy"/>
              <w:rPr>
                <w:b/>
                <w:bCs/>
              </w:rPr>
            </w:pPr>
            <w:r w:rsidRPr="00361BA2">
              <w:rPr>
                <w:b/>
                <w:bCs/>
              </w:rPr>
              <w:t>Guiding question</w:t>
            </w:r>
          </w:p>
        </w:tc>
      </w:tr>
      <w:tr w:rsidR="00964054" w:rsidRPr="002A1163" w14:paraId="0A7C4634" w14:textId="77777777" w:rsidTr="00361BA2">
        <w:trPr>
          <w:cantSplit/>
        </w:trPr>
        <w:tc>
          <w:tcPr>
            <w:tcW w:w="1667" w:type="pct"/>
            <w:shd w:val="clear" w:color="auto" w:fill="FFF200"/>
            <w:hideMark/>
          </w:tcPr>
          <w:p w14:paraId="0BFA240F" w14:textId="77777777" w:rsidR="006579C9" w:rsidRPr="00361BA2" w:rsidRDefault="006579C9" w:rsidP="00361BA2">
            <w:pPr>
              <w:pStyle w:val="BodyCopy"/>
              <w:rPr>
                <w:b/>
                <w:bCs/>
              </w:rPr>
            </w:pPr>
            <w:r w:rsidRPr="00361BA2">
              <w:rPr>
                <w:b/>
                <w:bCs/>
              </w:rPr>
              <w:t>Co-design and lived experience partnership</w:t>
            </w:r>
          </w:p>
        </w:tc>
        <w:tc>
          <w:tcPr>
            <w:tcW w:w="1667" w:type="pct"/>
            <w:hideMark/>
          </w:tcPr>
          <w:p w14:paraId="164615D7" w14:textId="77777777" w:rsidR="006579C9" w:rsidRPr="002A1163" w:rsidRDefault="006579C9" w:rsidP="00361BA2">
            <w:pPr>
              <w:pStyle w:val="BodyCopy"/>
            </w:pPr>
            <w:r w:rsidRPr="002A1163">
              <w:t>Inclusion of lived experience as expertise in decision-making processes</w:t>
            </w:r>
          </w:p>
        </w:tc>
        <w:tc>
          <w:tcPr>
            <w:tcW w:w="1667" w:type="pct"/>
            <w:hideMark/>
          </w:tcPr>
          <w:p w14:paraId="19C08A09" w14:textId="77777777" w:rsidR="006579C9" w:rsidRPr="002A1163" w:rsidRDefault="006579C9" w:rsidP="00361BA2">
            <w:pPr>
              <w:pStyle w:val="BodyCopy"/>
            </w:pPr>
            <w:r w:rsidRPr="002A1163">
              <w:t>How do we work in partnership with people with lived experience of disability to shape decisions that affect accessibility outcomes?</w:t>
            </w:r>
          </w:p>
        </w:tc>
      </w:tr>
      <w:tr w:rsidR="00964054" w:rsidRPr="002A1163" w14:paraId="608CA420" w14:textId="77777777" w:rsidTr="00361BA2">
        <w:trPr>
          <w:cantSplit/>
        </w:trPr>
        <w:tc>
          <w:tcPr>
            <w:tcW w:w="1667" w:type="pct"/>
            <w:shd w:val="clear" w:color="auto" w:fill="FFF200"/>
            <w:hideMark/>
          </w:tcPr>
          <w:p w14:paraId="5C9DDE94" w14:textId="77777777" w:rsidR="006579C9" w:rsidRPr="00361BA2" w:rsidRDefault="006579C9" w:rsidP="00361BA2">
            <w:pPr>
              <w:pStyle w:val="BodyCopy"/>
              <w:rPr>
                <w:b/>
                <w:bCs/>
              </w:rPr>
            </w:pPr>
            <w:r w:rsidRPr="00361BA2">
              <w:rPr>
                <w:b/>
                <w:bCs/>
              </w:rPr>
              <w:lastRenderedPageBreak/>
              <w:t>Born-accessible design</w:t>
            </w:r>
          </w:p>
        </w:tc>
        <w:tc>
          <w:tcPr>
            <w:tcW w:w="1667" w:type="pct"/>
            <w:hideMark/>
          </w:tcPr>
          <w:p w14:paraId="2F70BB9E" w14:textId="77777777" w:rsidR="006579C9" w:rsidRPr="002A1163" w:rsidRDefault="006579C9" w:rsidP="00361BA2">
            <w:pPr>
              <w:pStyle w:val="BodyCopy"/>
            </w:pPr>
            <w:r w:rsidRPr="002A1163">
              <w:t>Proactive integration of accessibility considerations into planning and design processes</w:t>
            </w:r>
          </w:p>
        </w:tc>
        <w:tc>
          <w:tcPr>
            <w:tcW w:w="1667" w:type="pct"/>
            <w:hideMark/>
          </w:tcPr>
          <w:p w14:paraId="12DA6CCD" w14:textId="77777777" w:rsidR="006579C9" w:rsidRPr="002A1163" w:rsidRDefault="006579C9" w:rsidP="00361BA2">
            <w:pPr>
              <w:pStyle w:val="BodyCopy"/>
            </w:pPr>
            <w:r w:rsidRPr="002A1163">
              <w:t>How do we design processes, systems, and environments that reduce the need for individuals to request access after barriers are created?</w:t>
            </w:r>
          </w:p>
        </w:tc>
      </w:tr>
      <w:tr w:rsidR="00964054" w:rsidRPr="002A1163" w14:paraId="78914943" w14:textId="77777777" w:rsidTr="00361BA2">
        <w:trPr>
          <w:cantSplit/>
        </w:trPr>
        <w:tc>
          <w:tcPr>
            <w:tcW w:w="1667" w:type="pct"/>
            <w:shd w:val="clear" w:color="auto" w:fill="FFF200"/>
            <w:hideMark/>
          </w:tcPr>
          <w:p w14:paraId="0E814D8C" w14:textId="77777777" w:rsidR="006579C9" w:rsidRPr="007069B0" w:rsidRDefault="006579C9" w:rsidP="00361BA2">
            <w:pPr>
              <w:pStyle w:val="BodyCopy"/>
              <w:rPr>
                <w:b/>
                <w:bCs/>
                <w:lang w:val="fr-CA"/>
              </w:rPr>
            </w:pPr>
            <w:r w:rsidRPr="007069B0">
              <w:rPr>
                <w:b/>
                <w:bCs/>
                <w:lang w:val="fr-CA"/>
              </w:rPr>
              <w:t>Inclusive communication, engagement, and participation environments</w:t>
            </w:r>
          </w:p>
        </w:tc>
        <w:tc>
          <w:tcPr>
            <w:tcW w:w="1667" w:type="pct"/>
            <w:hideMark/>
          </w:tcPr>
          <w:p w14:paraId="1188B93F" w14:textId="77777777" w:rsidR="006579C9" w:rsidRPr="002A1163" w:rsidRDefault="006579C9" w:rsidP="00361BA2">
            <w:pPr>
              <w:pStyle w:val="BodyCopy"/>
            </w:pPr>
            <w:r w:rsidRPr="002A1163">
              <w:t>Conditions supporting equitable participation across physical, digital, and hybrid contexts</w:t>
            </w:r>
          </w:p>
        </w:tc>
        <w:tc>
          <w:tcPr>
            <w:tcW w:w="1667" w:type="pct"/>
            <w:hideMark/>
          </w:tcPr>
          <w:p w14:paraId="45376101" w14:textId="77777777" w:rsidR="006579C9" w:rsidRPr="002A1163" w:rsidRDefault="006579C9" w:rsidP="00361BA2">
            <w:pPr>
              <w:pStyle w:val="BodyCopy"/>
            </w:pPr>
            <w:r w:rsidRPr="002A1163">
              <w:t>How do we create conditions that support equitable participation across diverse ways of communicating, sensing, and interacting?</w:t>
            </w:r>
          </w:p>
        </w:tc>
      </w:tr>
      <w:tr w:rsidR="00964054" w:rsidRPr="002A1163" w14:paraId="3877EE52" w14:textId="77777777" w:rsidTr="00361BA2">
        <w:trPr>
          <w:cantSplit/>
        </w:trPr>
        <w:tc>
          <w:tcPr>
            <w:tcW w:w="1667" w:type="pct"/>
            <w:shd w:val="clear" w:color="auto" w:fill="FFF200"/>
            <w:hideMark/>
          </w:tcPr>
          <w:p w14:paraId="78B490BD" w14:textId="77777777" w:rsidR="006579C9" w:rsidRPr="00361BA2" w:rsidRDefault="006579C9" w:rsidP="00361BA2">
            <w:pPr>
              <w:pStyle w:val="BodyCopy"/>
              <w:rPr>
                <w:b/>
                <w:bCs/>
              </w:rPr>
            </w:pPr>
            <w:r w:rsidRPr="00361BA2">
              <w:rPr>
                <w:b/>
                <w:bCs/>
              </w:rPr>
              <w:t>Digital and information accessibility</w:t>
            </w:r>
          </w:p>
        </w:tc>
        <w:tc>
          <w:tcPr>
            <w:tcW w:w="1667" w:type="pct"/>
            <w:hideMark/>
          </w:tcPr>
          <w:p w14:paraId="4221972D" w14:textId="77777777" w:rsidR="006579C9" w:rsidRPr="002A1163" w:rsidRDefault="006579C9" w:rsidP="00361BA2">
            <w:pPr>
              <w:pStyle w:val="BodyCopy"/>
            </w:pPr>
            <w:r w:rsidRPr="002A1163">
              <w:t>Accessibility of digital systems, information environments, and emerging technologies</w:t>
            </w:r>
          </w:p>
        </w:tc>
        <w:tc>
          <w:tcPr>
            <w:tcW w:w="1667" w:type="pct"/>
            <w:hideMark/>
          </w:tcPr>
          <w:p w14:paraId="1DB15E36" w14:textId="77777777" w:rsidR="006579C9" w:rsidRPr="002A1163" w:rsidRDefault="006579C9" w:rsidP="00361BA2">
            <w:pPr>
              <w:pStyle w:val="BodyCopy"/>
            </w:pPr>
            <w:r w:rsidRPr="002A1163">
              <w:t>How do digital systems shape who can access, interpret, and use information?</w:t>
            </w:r>
          </w:p>
        </w:tc>
      </w:tr>
      <w:tr w:rsidR="00964054" w:rsidRPr="002A1163" w14:paraId="7601AAA3" w14:textId="77777777" w:rsidTr="00361BA2">
        <w:trPr>
          <w:cantSplit/>
        </w:trPr>
        <w:tc>
          <w:tcPr>
            <w:tcW w:w="1667" w:type="pct"/>
            <w:shd w:val="clear" w:color="auto" w:fill="FFF200"/>
            <w:hideMark/>
          </w:tcPr>
          <w:p w14:paraId="6BFE9C2C" w14:textId="77777777" w:rsidR="006579C9" w:rsidRPr="00361BA2" w:rsidRDefault="006579C9" w:rsidP="00361BA2">
            <w:pPr>
              <w:pStyle w:val="BodyCopy"/>
              <w:rPr>
                <w:b/>
                <w:bCs/>
              </w:rPr>
            </w:pPr>
            <w:r w:rsidRPr="00361BA2">
              <w:rPr>
                <w:b/>
                <w:bCs/>
              </w:rPr>
              <w:lastRenderedPageBreak/>
              <w:t>Organizational accessibility and accountability</w:t>
            </w:r>
          </w:p>
        </w:tc>
        <w:tc>
          <w:tcPr>
            <w:tcW w:w="1667" w:type="pct"/>
            <w:hideMark/>
          </w:tcPr>
          <w:p w14:paraId="21BA42C4" w14:textId="77777777" w:rsidR="006579C9" w:rsidRPr="002A1163" w:rsidRDefault="006579C9" w:rsidP="00361BA2">
            <w:pPr>
              <w:pStyle w:val="BodyCopy"/>
            </w:pPr>
            <w:r w:rsidRPr="002A1163">
              <w:t>Governance structures supporting sustained accessibility practice</w:t>
            </w:r>
          </w:p>
        </w:tc>
        <w:tc>
          <w:tcPr>
            <w:tcW w:w="1667" w:type="pct"/>
            <w:hideMark/>
          </w:tcPr>
          <w:p w14:paraId="01A01992" w14:textId="77777777" w:rsidR="006579C9" w:rsidRPr="002A1163" w:rsidRDefault="006579C9" w:rsidP="00361BA2">
            <w:pPr>
              <w:pStyle w:val="BodyCopy"/>
            </w:pPr>
            <w:r w:rsidRPr="002A1163">
              <w:t>How do organizational structures distribute responsibility for accessibility and support accountability over time?</w:t>
            </w:r>
          </w:p>
        </w:tc>
      </w:tr>
    </w:tbl>
    <w:p w14:paraId="38FC1CB0" w14:textId="77777777" w:rsidR="006579C9" w:rsidRPr="002A1163" w:rsidRDefault="006579C9" w:rsidP="006579C9">
      <w:pPr>
        <w:spacing w:before="240" w:after="240" w:line="300" w:lineRule="auto"/>
      </w:pPr>
    </w:p>
    <w:p w14:paraId="3AE5597D" w14:textId="7DF06575" w:rsidR="006579C9" w:rsidRPr="002A1163" w:rsidRDefault="00361BA2" w:rsidP="00361BA2">
      <w:pPr>
        <w:pStyle w:val="BodyCopy"/>
      </w:pPr>
      <w:r w:rsidRPr="00361BA2">
        <w:rPr>
          <w:b/>
          <w:bCs/>
        </w:rPr>
        <w:t xml:space="preserve">Table </w:t>
      </w:r>
      <w:r w:rsidRPr="00361BA2">
        <w:rPr>
          <w:b/>
          <w:bCs/>
        </w:rPr>
        <w:fldChar w:fldCharType="begin"/>
      </w:r>
      <w:r w:rsidRPr="00361BA2">
        <w:rPr>
          <w:b/>
          <w:bCs/>
        </w:rPr>
        <w:instrText xml:space="preserve"> SEQ Table \* ARABIC </w:instrText>
      </w:r>
      <w:r w:rsidRPr="00361BA2">
        <w:rPr>
          <w:b/>
          <w:bCs/>
        </w:rPr>
        <w:fldChar w:fldCharType="separate"/>
      </w:r>
      <w:r w:rsidR="00397FFE">
        <w:rPr>
          <w:b/>
          <w:bCs/>
          <w:noProof/>
        </w:rPr>
        <w:t>5</w:t>
      </w:r>
      <w:r w:rsidRPr="00361BA2">
        <w:rPr>
          <w:b/>
          <w:bCs/>
        </w:rPr>
        <w:fldChar w:fldCharType="end"/>
      </w:r>
      <w:r w:rsidRPr="00361BA2">
        <w:rPr>
          <w:b/>
          <w:bCs/>
        </w:rPr>
        <w:t>.</w:t>
      </w:r>
      <w:r>
        <w:t xml:space="preserve"> </w:t>
      </w:r>
      <w:r w:rsidRPr="00A955DF">
        <w:t>Competency Progression Structure</w:t>
      </w:r>
    </w:p>
    <w:tbl>
      <w:tblPr>
        <w:tblStyle w:val="TableGrid"/>
        <w:tblW w:w="0" w:type="auto"/>
        <w:tblLook w:val="06A0" w:firstRow="1" w:lastRow="0" w:firstColumn="1" w:lastColumn="0" w:noHBand="1" w:noVBand="1"/>
      </w:tblPr>
      <w:tblGrid>
        <w:gridCol w:w="2408"/>
        <w:gridCol w:w="4287"/>
        <w:gridCol w:w="6255"/>
      </w:tblGrid>
      <w:tr w:rsidR="00964054" w:rsidRPr="002A1163" w14:paraId="06E57EA7" w14:textId="77777777" w:rsidTr="00361BA2">
        <w:trPr>
          <w:tblHeader/>
        </w:trPr>
        <w:tc>
          <w:tcPr>
            <w:tcW w:w="0" w:type="auto"/>
            <w:shd w:val="clear" w:color="auto" w:fill="FFF200"/>
            <w:hideMark/>
          </w:tcPr>
          <w:p w14:paraId="0BA6EA2E" w14:textId="77777777" w:rsidR="006579C9" w:rsidRPr="00361BA2" w:rsidRDefault="006579C9" w:rsidP="00361BA2">
            <w:pPr>
              <w:pStyle w:val="BodyCopy"/>
              <w:rPr>
                <w:b/>
                <w:bCs/>
              </w:rPr>
            </w:pPr>
            <w:r w:rsidRPr="00361BA2">
              <w:rPr>
                <w:b/>
                <w:bCs/>
              </w:rPr>
              <w:t>Level</w:t>
            </w:r>
          </w:p>
        </w:tc>
        <w:tc>
          <w:tcPr>
            <w:tcW w:w="0" w:type="auto"/>
            <w:shd w:val="clear" w:color="auto" w:fill="FFF200"/>
            <w:hideMark/>
          </w:tcPr>
          <w:p w14:paraId="1D728B0E" w14:textId="77777777" w:rsidR="006579C9" w:rsidRPr="00361BA2" w:rsidRDefault="006579C9" w:rsidP="00361BA2">
            <w:pPr>
              <w:pStyle w:val="BodyCopy"/>
              <w:rPr>
                <w:b/>
                <w:bCs/>
              </w:rPr>
            </w:pPr>
            <w:r w:rsidRPr="00361BA2">
              <w:rPr>
                <w:b/>
                <w:bCs/>
              </w:rPr>
              <w:t>Description</w:t>
            </w:r>
          </w:p>
        </w:tc>
        <w:tc>
          <w:tcPr>
            <w:tcW w:w="0" w:type="auto"/>
            <w:shd w:val="clear" w:color="auto" w:fill="FFF200"/>
            <w:hideMark/>
          </w:tcPr>
          <w:p w14:paraId="4E4D4F3C" w14:textId="77777777" w:rsidR="006579C9" w:rsidRPr="00361BA2" w:rsidRDefault="006579C9" w:rsidP="00361BA2">
            <w:pPr>
              <w:pStyle w:val="BodyCopy"/>
              <w:rPr>
                <w:b/>
                <w:bCs/>
              </w:rPr>
            </w:pPr>
            <w:r w:rsidRPr="00361BA2">
              <w:rPr>
                <w:b/>
                <w:bCs/>
              </w:rPr>
              <w:t>General expression of competency</w:t>
            </w:r>
          </w:p>
        </w:tc>
      </w:tr>
      <w:tr w:rsidR="00964054" w:rsidRPr="002A1163" w14:paraId="65DB77BB" w14:textId="77777777" w:rsidTr="00361BA2">
        <w:tc>
          <w:tcPr>
            <w:tcW w:w="0" w:type="auto"/>
            <w:shd w:val="clear" w:color="auto" w:fill="FFF200"/>
            <w:hideMark/>
          </w:tcPr>
          <w:p w14:paraId="2D387595" w14:textId="77777777" w:rsidR="006579C9" w:rsidRPr="00361BA2" w:rsidRDefault="006579C9" w:rsidP="00361BA2">
            <w:pPr>
              <w:pStyle w:val="BodyCopy"/>
              <w:rPr>
                <w:b/>
                <w:bCs/>
              </w:rPr>
            </w:pPr>
            <w:r w:rsidRPr="00361BA2">
              <w:rPr>
                <w:b/>
                <w:bCs/>
              </w:rPr>
              <w:t>Foundational awareness</w:t>
            </w:r>
          </w:p>
        </w:tc>
        <w:tc>
          <w:tcPr>
            <w:tcW w:w="0" w:type="auto"/>
            <w:hideMark/>
          </w:tcPr>
          <w:p w14:paraId="6A038F59" w14:textId="77777777" w:rsidR="006579C9" w:rsidRPr="002A1163" w:rsidRDefault="006579C9" w:rsidP="00361BA2">
            <w:pPr>
              <w:pStyle w:val="BodyCopy"/>
            </w:pPr>
            <w:r w:rsidRPr="002A1163">
              <w:t>Baseline understanding of accessibility concepts and relevance to role</w:t>
            </w:r>
          </w:p>
        </w:tc>
        <w:tc>
          <w:tcPr>
            <w:tcW w:w="0" w:type="auto"/>
            <w:hideMark/>
          </w:tcPr>
          <w:p w14:paraId="259F2858" w14:textId="77777777" w:rsidR="006579C9" w:rsidRPr="002A1163" w:rsidRDefault="006579C9" w:rsidP="00361BA2">
            <w:pPr>
              <w:pStyle w:val="BodyCopy"/>
            </w:pPr>
            <w:r w:rsidRPr="002A1163">
              <w:t>Recognizes accessibility considerations, understands common barriers, demonstrates awareness of lived experience perspectives</w:t>
            </w:r>
          </w:p>
        </w:tc>
      </w:tr>
      <w:tr w:rsidR="00964054" w:rsidRPr="002A1163" w14:paraId="26FBDD49" w14:textId="77777777" w:rsidTr="00361BA2">
        <w:tc>
          <w:tcPr>
            <w:tcW w:w="0" w:type="auto"/>
            <w:shd w:val="clear" w:color="auto" w:fill="FFF200"/>
            <w:hideMark/>
          </w:tcPr>
          <w:p w14:paraId="2F8D30E1" w14:textId="77777777" w:rsidR="006579C9" w:rsidRPr="00361BA2" w:rsidRDefault="006579C9" w:rsidP="00361BA2">
            <w:pPr>
              <w:pStyle w:val="BodyCopy"/>
              <w:rPr>
                <w:b/>
                <w:bCs/>
              </w:rPr>
            </w:pPr>
            <w:r w:rsidRPr="00361BA2">
              <w:rPr>
                <w:b/>
                <w:bCs/>
              </w:rPr>
              <w:t>Working practice</w:t>
            </w:r>
          </w:p>
        </w:tc>
        <w:tc>
          <w:tcPr>
            <w:tcW w:w="0" w:type="auto"/>
            <w:hideMark/>
          </w:tcPr>
          <w:p w14:paraId="5698E973" w14:textId="77777777" w:rsidR="006579C9" w:rsidRPr="002A1163" w:rsidRDefault="006579C9" w:rsidP="00361BA2">
            <w:pPr>
              <w:pStyle w:val="BodyCopy"/>
            </w:pPr>
            <w:r w:rsidRPr="002A1163">
              <w:t>Application of accessibility considerations within routine tasks and interactions</w:t>
            </w:r>
          </w:p>
        </w:tc>
        <w:tc>
          <w:tcPr>
            <w:tcW w:w="0" w:type="auto"/>
            <w:hideMark/>
          </w:tcPr>
          <w:p w14:paraId="4340C615" w14:textId="77777777" w:rsidR="006579C9" w:rsidRPr="002A1163" w:rsidRDefault="006579C9" w:rsidP="00361BA2">
            <w:pPr>
              <w:pStyle w:val="BodyCopy"/>
            </w:pPr>
            <w:r w:rsidRPr="002A1163">
              <w:t>Applies inclusive practices within day-to-day work, considers accessibility when communicating, planning, or creating materials</w:t>
            </w:r>
          </w:p>
        </w:tc>
      </w:tr>
      <w:tr w:rsidR="00964054" w:rsidRPr="002A1163" w14:paraId="63D6BDF6" w14:textId="77777777" w:rsidTr="00361BA2">
        <w:tc>
          <w:tcPr>
            <w:tcW w:w="0" w:type="auto"/>
            <w:shd w:val="clear" w:color="auto" w:fill="FFF200"/>
            <w:hideMark/>
          </w:tcPr>
          <w:p w14:paraId="27650234" w14:textId="77777777" w:rsidR="006579C9" w:rsidRPr="00361BA2" w:rsidRDefault="006579C9" w:rsidP="00361BA2">
            <w:pPr>
              <w:pStyle w:val="BodyCopy"/>
              <w:rPr>
                <w:b/>
                <w:bCs/>
              </w:rPr>
            </w:pPr>
            <w:r w:rsidRPr="00361BA2">
              <w:rPr>
                <w:b/>
                <w:bCs/>
              </w:rPr>
              <w:lastRenderedPageBreak/>
              <w:t>Applied integration</w:t>
            </w:r>
          </w:p>
        </w:tc>
        <w:tc>
          <w:tcPr>
            <w:tcW w:w="0" w:type="auto"/>
            <w:hideMark/>
          </w:tcPr>
          <w:p w14:paraId="69123FB5" w14:textId="77777777" w:rsidR="006579C9" w:rsidRPr="002A1163" w:rsidRDefault="006579C9" w:rsidP="00361BA2">
            <w:pPr>
              <w:pStyle w:val="BodyCopy"/>
            </w:pPr>
            <w:r w:rsidRPr="002A1163">
              <w:t>Integration of accessibility considerations across projects, workflows, or teams</w:t>
            </w:r>
          </w:p>
        </w:tc>
        <w:tc>
          <w:tcPr>
            <w:tcW w:w="0" w:type="auto"/>
            <w:hideMark/>
          </w:tcPr>
          <w:p w14:paraId="7C22F325" w14:textId="77777777" w:rsidR="006579C9" w:rsidRPr="002A1163" w:rsidRDefault="006579C9" w:rsidP="00361BA2">
            <w:pPr>
              <w:pStyle w:val="BodyCopy"/>
            </w:pPr>
            <w:r w:rsidRPr="002A1163">
              <w:t>Incorporates accessibility into planning processes, collaboration practices, and decision-making structures</w:t>
            </w:r>
          </w:p>
        </w:tc>
      </w:tr>
      <w:tr w:rsidR="00964054" w:rsidRPr="002A1163" w14:paraId="0E7AC8C5" w14:textId="77777777" w:rsidTr="00361BA2">
        <w:tc>
          <w:tcPr>
            <w:tcW w:w="0" w:type="auto"/>
            <w:shd w:val="clear" w:color="auto" w:fill="FFF200"/>
            <w:hideMark/>
          </w:tcPr>
          <w:p w14:paraId="40427962" w14:textId="77777777" w:rsidR="006579C9" w:rsidRPr="00361BA2" w:rsidRDefault="006579C9" w:rsidP="00361BA2">
            <w:pPr>
              <w:pStyle w:val="BodyCopy"/>
              <w:rPr>
                <w:b/>
                <w:bCs/>
              </w:rPr>
            </w:pPr>
            <w:r w:rsidRPr="00361BA2">
              <w:rPr>
                <w:b/>
                <w:bCs/>
              </w:rPr>
              <w:t>Strategic leadership</w:t>
            </w:r>
          </w:p>
        </w:tc>
        <w:tc>
          <w:tcPr>
            <w:tcW w:w="0" w:type="auto"/>
            <w:hideMark/>
          </w:tcPr>
          <w:p w14:paraId="51377779" w14:textId="77777777" w:rsidR="006579C9" w:rsidRPr="002A1163" w:rsidRDefault="006579C9" w:rsidP="00361BA2">
            <w:pPr>
              <w:pStyle w:val="BodyCopy"/>
            </w:pPr>
            <w:r w:rsidRPr="002A1163">
              <w:t>Shaping organizational conditions supporting accessibility capability over time</w:t>
            </w:r>
          </w:p>
        </w:tc>
        <w:tc>
          <w:tcPr>
            <w:tcW w:w="0" w:type="auto"/>
            <w:hideMark/>
          </w:tcPr>
          <w:p w14:paraId="57EF32C0" w14:textId="77777777" w:rsidR="006579C9" w:rsidRPr="002A1163" w:rsidRDefault="006579C9" w:rsidP="00361BA2">
            <w:pPr>
              <w:pStyle w:val="BodyCopy"/>
            </w:pPr>
            <w:r w:rsidRPr="002A1163">
              <w:t>Influences governance structures, resource allocation, standards, and continuous improvement processes</w:t>
            </w:r>
          </w:p>
        </w:tc>
      </w:tr>
    </w:tbl>
    <w:p w14:paraId="1774D8F4" w14:textId="6DEBD5AD" w:rsidR="006579C9" w:rsidRDefault="006579C9" w:rsidP="00CE7E18">
      <w:pPr>
        <w:pStyle w:val="Heading4"/>
      </w:pPr>
    </w:p>
    <w:p w14:paraId="48E3174F" w14:textId="19AD4AF6" w:rsidR="00361BA2" w:rsidRPr="00361BA2" w:rsidRDefault="00361BA2" w:rsidP="00361BA2">
      <w:pPr>
        <w:pStyle w:val="BodyCopy"/>
      </w:pPr>
      <w:r w:rsidRPr="00361BA2">
        <w:rPr>
          <w:b/>
          <w:bCs/>
        </w:rPr>
        <w:t xml:space="preserve">Table </w:t>
      </w:r>
      <w:r w:rsidRPr="00361BA2">
        <w:rPr>
          <w:b/>
          <w:bCs/>
        </w:rPr>
        <w:fldChar w:fldCharType="begin"/>
      </w:r>
      <w:r w:rsidRPr="00361BA2">
        <w:rPr>
          <w:b/>
          <w:bCs/>
        </w:rPr>
        <w:instrText xml:space="preserve"> SEQ Table \* ARABIC </w:instrText>
      </w:r>
      <w:r w:rsidRPr="00361BA2">
        <w:rPr>
          <w:b/>
          <w:bCs/>
        </w:rPr>
        <w:fldChar w:fldCharType="separate"/>
      </w:r>
      <w:r w:rsidR="00397FFE">
        <w:rPr>
          <w:b/>
          <w:bCs/>
          <w:noProof/>
        </w:rPr>
        <w:t>6</w:t>
      </w:r>
      <w:r w:rsidRPr="00361BA2">
        <w:rPr>
          <w:b/>
          <w:bCs/>
        </w:rPr>
        <w:fldChar w:fldCharType="end"/>
      </w:r>
      <w:r w:rsidRPr="00361BA2">
        <w:rPr>
          <w:b/>
          <w:bCs/>
        </w:rPr>
        <w:t>.</w:t>
      </w:r>
      <w:r>
        <w:t xml:space="preserve"> </w:t>
      </w:r>
      <w:r w:rsidRPr="001B03F0">
        <w:t>Domain Interpretation Across Competency Levels</w:t>
      </w:r>
    </w:p>
    <w:tbl>
      <w:tblPr>
        <w:tblStyle w:val="TableGrid"/>
        <w:tblW w:w="0" w:type="auto"/>
        <w:tblLook w:val="0620" w:firstRow="1" w:lastRow="0" w:firstColumn="0" w:lastColumn="0" w:noHBand="1" w:noVBand="1"/>
      </w:tblPr>
      <w:tblGrid>
        <w:gridCol w:w="2765"/>
        <w:gridCol w:w="2446"/>
        <w:gridCol w:w="2555"/>
        <w:gridCol w:w="2546"/>
        <w:gridCol w:w="2638"/>
      </w:tblGrid>
      <w:tr w:rsidR="00500ABF" w:rsidRPr="002A1163" w14:paraId="325831D8" w14:textId="77777777" w:rsidTr="00361BA2">
        <w:trPr>
          <w:tblHeader/>
        </w:trPr>
        <w:tc>
          <w:tcPr>
            <w:tcW w:w="0" w:type="auto"/>
            <w:shd w:val="clear" w:color="auto" w:fill="FFF200"/>
            <w:hideMark/>
          </w:tcPr>
          <w:p w14:paraId="78B3C2A2" w14:textId="77777777" w:rsidR="006579C9" w:rsidRPr="00361BA2" w:rsidRDefault="006579C9" w:rsidP="00361BA2">
            <w:pPr>
              <w:pStyle w:val="BodyCopy"/>
              <w:rPr>
                <w:b/>
                <w:bCs/>
              </w:rPr>
            </w:pPr>
            <w:r w:rsidRPr="00361BA2">
              <w:rPr>
                <w:b/>
                <w:bCs/>
              </w:rPr>
              <w:t>Domain</w:t>
            </w:r>
          </w:p>
        </w:tc>
        <w:tc>
          <w:tcPr>
            <w:tcW w:w="0" w:type="auto"/>
            <w:shd w:val="clear" w:color="auto" w:fill="FFF200"/>
            <w:hideMark/>
          </w:tcPr>
          <w:p w14:paraId="233EB152" w14:textId="77777777" w:rsidR="006579C9" w:rsidRPr="00361BA2" w:rsidRDefault="006579C9" w:rsidP="00361BA2">
            <w:pPr>
              <w:pStyle w:val="BodyCopy"/>
              <w:rPr>
                <w:b/>
                <w:bCs/>
              </w:rPr>
            </w:pPr>
            <w:r w:rsidRPr="00361BA2">
              <w:rPr>
                <w:b/>
                <w:bCs/>
              </w:rPr>
              <w:t>Foundational awareness</w:t>
            </w:r>
          </w:p>
        </w:tc>
        <w:tc>
          <w:tcPr>
            <w:tcW w:w="0" w:type="auto"/>
            <w:shd w:val="clear" w:color="auto" w:fill="FFF200"/>
            <w:hideMark/>
          </w:tcPr>
          <w:p w14:paraId="372562FE" w14:textId="77777777" w:rsidR="006579C9" w:rsidRPr="00361BA2" w:rsidRDefault="006579C9" w:rsidP="00361BA2">
            <w:pPr>
              <w:pStyle w:val="BodyCopy"/>
              <w:rPr>
                <w:b/>
                <w:bCs/>
              </w:rPr>
            </w:pPr>
            <w:r w:rsidRPr="00361BA2">
              <w:rPr>
                <w:b/>
                <w:bCs/>
              </w:rPr>
              <w:t>Working practice</w:t>
            </w:r>
          </w:p>
        </w:tc>
        <w:tc>
          <w:tcPr>
            <w:tcW w:w="0" w:type="auto"/>
            <w:shd w:val="clear" w:color="auto" w:fill="FFF200"/>
            <w:hideMark/>
          </w:tcPr>
          <w:p w14:paraId="305379B3" w14:textId="77777777" w:rsidR="006579C9" w:rsidRPr="00361BA2" w:rsidRDefault="006579C9" w:rsidP="00361BA2">
            <w:pPr>
              <w:pStyle w:val="BodyCopy"/>
              <w:rPr>
                <w:b/>
                <w:bCs/>
              </w:rPr>
            </w:pPr>
            <w:r w:rsidRPr="00361BA2">
              <w:rPr>
                <w:b/>
                <w:bCs/>
              </w:rPr>
              <w:t>Applied integration</w:t>
            </w:r>
          </w:p>
        </w:tc>
        <w:tc>
          <w:tcPr>
            <w:tcW w:w="0" w:type="auto"/>
            <w:shd w:val="clear" w:color="auto" w:fill="FFF200"/>
            <w:hideMark/>
          </w:tcPr>
          <w:p w14:paraId="0D709030" w14:textId="77777777" w:rsidR="006579C9" w:rsidRPr="00361BA2" w:rsidRDefault="006579C9" w:rsidP="00361BA2">
            <w:pPr>
              <w:pStyle w:val="BodyCopy"/>
              <w:rPr>
                <w:b/>
                <w:bCs/>
              </w:rPr>
            </w:pPr>
            <w:r w:rsidRPr="00361BA2">
              <w:rPr>
                <w:b/>
                <w:bCs/>
              </w:rPr>
              <w:t>Strategic leadership</w:t>
            </w:r>
          </w:p>
        </w:tc>
      </w:tr>
      <w:tr w:rsidR="00500ABF" w:rsidRPr="002A1163" w14:paraId="00AD8CC5" w14:textId="77777777" w:rsidTr="00361BA2">
        <w:tc>
          <w:tcPr>
            <w:tcW w:w="0" w:type="auto"/>
            <w:shd w:val="clear" w:color="auto" w:fill="FFF200"/>
            <w:hideMark/>
          </w:tcPr>
          <w:p w14:paraId="7C7CEBFB" w14:textId="77777777" w:rsidR="006579C9" w:rsidRPr="00361BA2" w:rsidRDefault="006579C9" w:rsidP="00361BA2">
            <w:pPr>
              <w:pStyle w:val="BodyCopy"/>
              <w:rPr>
                <w:b/>
                <w:bCs/>
              </w:rPr>
            </w:pPr>
            <w:r w:rsidRPr="00361BA2">
              <w:rPr>
                <w:b/>
                <w:bCs/>
              </w:rPr>
              <w:t>Co-design and lived experience partnership</w:t>
            </w:r>
          </w:p>
        </w:tc>
        <w:tc>
          <w:tcPr>
            <w:tcW w:w="0" w:type="auto"/>
            <w:hideMark/>
          </w:tcPr>
          <w:p w14:paraId="5F75E515" w14:textId="77777777" w:rsidR="006579C9" w:rsidRPr="002A1163" w:rsidRDefault="006579C9" w:rsidP="00361BA2">
            <w:pPr>
              <w:pStyle w:val="BodyCopy"/>
            </w:pPr>
            <w:r w:rsidRPr="002A1163">
              <w:t>Recognizes lived experience as expertise</w:t>
            </w:r>
          </w:p>
        </w:tc>
        <w:tc>
          <w:tcPr>
            <w:tcW w:w="0" w:type="auto"/>
            <w:hideMark/>
          </w:tcPr>
          <w:p w14:paraId="48E23BDB" w14:textId="77777777" w:rsidR="006579C9" w:rsidRPr="002A1163" w:rsidRDefault="006579C9" w:rsidP="00361BA2">
            <w:pPr>
              <w:pStyle w:val="BodyCopy"/>
            </w:pPr>
            <w:r w:rsidRPr="002A1163">
              <w:t>Seeks input respectfully and transparently</w:t>
            </w:r>
          </w:p>
        </w:tc>
        <w:tc>
          <w:tcPr>
            <w:tcW w:w="0" w:type="auto"/>
            <w:hideMark/>
          </w:tcPr>
          <w:p w14:paraId="2A1F299C" w14:textId="77777777" w:rsidR="006579C9" w:rsidRPr="002A1163" w:rsidRDefault="006579C9" w:rsidP="00361BA2">
            <w:pPr>
              <w:pStyle w:val="BodyCopy"/>
            </w:pPr>
            <w:r w:rsidRPr="002A1163">
              <w:t xml:space="preserve">Integrates lived experience perspectives into </w:t>
            </w:r>
            <w:r w:rsidRPr="002A1163">
              <w:lastRenderedPageBreak/>
              <w:t>planning and decision-making</w:t>
            </w:r>
          </w:p>
        </w:tc>
        <w:tc>
          <w:tcPr>
            <w:tcW w:w="0" w:type="auto"/>
            <w:hideMark/>
          </w:tcPr>
          <w:p w14:paraId="088C127A" w14:textId="77777777" w:rsidR="006579C9" w:rsidRPr="002A1163" w:rsidRDefault="006579C9" w:rsidP="00361BA2">
            <w:pPr>
              <w:pStyle w:val="BodyCopy"/>
            </w:pPr>
            <w:r w:rsidRPr="002A1163">
              <w:lastRenderedPageBreak/>
              <w:t xml:space="preserve">Supports structures enabling meaningful participation of </w:t>
            </w:r>
            <w:r w:rsidRPr="002A1163">
              <w:lastRenderedPageBreak/>
              <w:t>lived experience expertise</w:t>
            </w:r>
          </w:p>
        </w:tc>
      </w:tr>
      <w:tr w:rsidR="00500ABF" w:rsidRPr="002A1163" w14:paraId="7465F399" w14:textId="77777777" w:rsidTr="00361BA2">
        <w:tc>
          <w:tcPr>
            <w:tcW w:w="0" w:type="auto"/>
            <w:shd w:val="clear" w:color="auto" w:fill="FFF200"/>
            <w:hideMark/>
          </w:tcPr>
          <w:p w14:paraId="1CFE08C2" w14:textId="77777777" w:rsidR="006579C9" w:rsidRPr="00361BA2" w:rsidRDefault="006579C9" w:rsidP="00361BA2">
            <w:pPr>
              <w:pStyle w:val="BodyCopy"/>
              <w:rPr>
                <w:b/>
                <w:bCs/>
              </w:rPr>
            </w:pPr>
            <w:r w:rsidRPr="00361BA2">
              <w:rPr>
                <w:b/>
                <w:bCs/>
              </w:rPr>
              <w:lastRenderedPageBreak/>
              <w:t>Born-accessible design</w:t>
            </w:r>
          </w:p>
        </w:tc>
        <w:tc>
          <w:tcPr>
            <w:tcW w:w="0" w:type="auto"/>
            <w:hideMark/>
          </w:tcPr>
          <w:p w14:paraId="58A2ADE1" w14:textId="77777777" w:rsidR="006579C9" w:rsidRPr="002A1163" w:rsidRDefault="006579C9" w:rsidP="00361BA2">
            <w:pPr>
              <w:pStyle w:val="BodyCopy"/>
            </w:pPr>
            <w:r w:rsidRPr="002A1163">
              <w:t>Understands early decisions influence accessibility outcomes</w:t>
            </w:r>
          </w:p>
        </w:tc>
        <w:tc>
          <w:tcPr>
            <w:tcW w:w="0" w:type="auto"/>
            <w:hideMark/>
          </w:tcPr>
          <w:p w14:paraId="73F566F1" w14:textId="77777777" w:rsidR="006579C9" w:rsidRPr="002A1163" w:rsidRDefault="006579C9" w:rsidP="00361BA2">
            <w:pPr>
              <w:pStyle w:val="BodyCopy"/>
            </w:pPr>
            <w:r w:rsidRPr="002A1163">
              <w:t>Considers accessibility when selecting tools, formats, timelines, and environments</w:t>
            </w:r>
          </w:p>
        </w:tc>
        <w:tc>
          <w:tcPr>
            <w:tcW w:w="0" w:type="auto"/>
            <w:hideMark/>
          </w:tcPr>
          <w:p w14:paraId="287B17C0" w14:textId="77777777" w:rsidR="006579C9" w:rsidRPr="002A1163" w:rsidRDefault="006579C9" w:rsidP="00361BA2">
            <w:pPr>
              <w:pStyle w:val="BodyCopy"/>
            </w:pPr>
            <w:r w:rsidRPr="002A1163">
              <w:t>Integrates accessibility into workflows, planning structures, and procurement considerations</w:t>
            </w:r>
          </w:p>
        </w:tc>
        <w:tc>
          <w:tcPr>
            <w:tcW w:w="0" w:type="auto"/>
            <w:hideMark/>
          </w:tcPr>
          <w:p w14:paraId="154ADF51" w14:textId="77777777" w:rsidR="006579C9" w:rsidRPr="002A1163" w:rsidRDefault="006579C9" w:rsidP="00361BA2">
            <w:pPr>
              <w:pStyle w:val="BodyCopy"/>
            </w:pPr>
            <w:r w:rsidRPr="002A1163">
              <w:t>Embeds proactive accessibility approaches into organizational planning structures</w:t>
            </w:r>
          </w:p>
        </w:tc>
      </w:tr>
      <w:tr w:rsidR="00500ABF" w:rsidRPr="002A1163" w14:paraId="03424C28" w14:textId="77777777" w:rsidTr="00361BA2">
        <w:tc>
          <w:tcPr>
            <w:tcW w:w="0" w:type="auto"/>
            <w:shd w:val="clear" w:color="auto" w:fill="FFF200"/>
            <w:hideMark/>
          </w:tcPr>
          <w:p w14:paraId="063F383C" w14:textId="77777777" w:rsidR="006579C9" w:rsidRPr="007069B0" w:rsidRDefault="006579C9" w:rsidP="00361BA2">
            <w:pPr>
              <w:pStyle w:val="BodyCopy"/>
              <w:rPr>
                <w:b/>
                <w:bCs/>
                <w:lang w:val="fr-CA"/>
              </w:rPr>
            </w:pPr>
            <w:r w:rsidRPr="007069B0">
              <w:rPr>
                <w:b/>
                <w:bCs/>
                <w:lang w:val="fr-CA"/>
              </w:rPr>
              <w:t>Inclusive communication, engagement, and participation environments</w:t>
            </w:r>
          </w:p>
        </w:tc>
        <w:tc>
          <w:tcPr>
            <w:tcW w:w="0" w:type="auto"/>
            <w:hideMark/>
          </w:tcPr>
          <w:p w14:paraId="425D0ED1" w14:textId="77777777" w:rsidR="006579C9" w:rsidRPr="002A1163" w:rsidRDefault="006579C9" w:rsidP="00361BA2">
            <w:pPr>
              <w:pStyle w:val="BodyCopy"/>
            </w:pPr>
            <w:r w:rsidRPr="002A1163">
              <w:t>Recognizes communication practices influence participation</w:t>
            </w:r>
          </w:p>
        </w:tc>
        <w:tc>
          <w:tcPr>
            <w:tcW w:w="0" w:type="auto"/>
            <w:hideMark/>
          </w:tcPr>
          <w:p w14:paraId="070E4A89" w14:textId="77777777" w:rsidR="006579C9" w:rsidRPr="002A1163" w:rsidRDefault="006579C9" w:rsidP="00361BA2">
            <w:pPr>
              <w:pStyle w:val="BodyCopy"/>
            </w:pPr>
            <w:r w:rsidRPr="002A1163">
              <w:t>Uses inclusive communication practices and accessible formats</w:t>
            </w:r>
          </w:p>
        </w:tc>
        <w:tc>
          <w:tcPr>
            <w:tcW w:w="0" w:type="auto"/>
            <w:hideMark/>
          </w:tcPr>
          <w:p w14:paraId="4A4E1EBE" w14:textId="77777777" w:rsidR="006579C9" w:rsidRPr="002A1163" w:rsidRDefault="006579C9" w:rsidP="00361BA2">
            <w:pPr>
              <w:pStyle w:val="BodyCopy"/>
            </w:pPr>
            <w:r w:rsidRPr="002A1163">
              <w:t>Designs meetings and engagement approaches supporting multiple participation modalities</w:t>
            </w:r>
          </w:p>
        </w:tc>
        <w:tc>
          <w:tcPr>
            <w:tcW w:w="0" w:type="auto"/>
            <w:hideMark/>
          </w:tcPr>
          <w:p w14:paraId="31FE48F9" w14:textId="77777777" w:rsidR="006579C9" w:rsidRPr="002A1163" w:rsidRDefault="006579C9" w:rsidP="00361BA2">
            <w:pPr>
              <w:pStyle w:val="BodyCopy"/>
            </w:pPr>
            <w:r w:rsidRPr="002A1163">
              <w:t>Establishes expectations for inclusive communication practices across organizational contexts</w:t>
            </w:r>
          </w:p>
        </w:tc>
      </w:tr>
      <w:tr w:rsidR="00500ABF" w:rsidRPr="002A1163" w14:paraId="27CBDD25" w14:textId="77777777" w:rsidTr="00361BA2">
        <w:tc>
          <w:tcPr>
            <w:tcW w:w="0" w:type="auto"/>
            <w:shd w:val="clear" w:color="auto" w:fill="FFF200"/>
            <w:hideMark/>
          </w:tcPr>
          <w:p w14:paraId="217049E3" w14:textId="77777777" w:rsidR="006579C9" w:rsidRPr="00361BA2" w:rsidRDefault="006579C9" w:rsidP="00361BA2">
            <w:pPr>
              <w:pStyle w:val="BodyCopy"/>
              <w:rPr>
                <w:b/>
                <w:bCs/>
              </w:rPr>
            </w:pPr>
            <w:r w:rsidRPr="00361BA2">
              <w:rPr>
                <w:b/>
                <w:bCs/>
              </w:rPr>
              <w:lastRenderedPageBreak/>
              <w:t>Digital and information accessibility</w:t>
            </w:r>
          </w:p>
        </w:tc>
        <w:tc>
          <w:tcPr>
            <w:tcW w:w="0" w:type="auto"/>
            <w:hideMark/>
          </w:tcPr>
          <w:p w14:paraId="6BCF5B83" w14:textId="77777777" w:rsidR="006579C9" w:rsidRPr="007069B0" w:rsidRDefault="006579C9" w:rsidP="00361BA2">
            <w:pPr>
              <w:pStyle w:val="BodyCopy"/>
              <w:rPr>
                <w:lang w:val="fr-CA"/>
              </w:rPr>
            </w:pPr>
            <w:r w:rsidRPr="007069B0">
              <w:rPr>
                <w:lang w:val="fr-CA"/>
              </w:rPr>
              <w:t>Recognizes digital environments influence participation</w:t>
            </w:r>
          </w:p>
        </w:tc>
        <w:tc>
          <w:tcPr>
            <w:tcW w:w="0" w:type="auto"/>
            <w:hideMark/>
          </w:tcPr>
          <w:p w14:paraId="0CF69D77" w14:textId="77777777" w:rsidR="006579C9" w:rsidRPr="002A1163" w:rsidRDefault="006579C9" w:rsidP="00361BA2">
            <w:pPr>
              <w:pStyle w:val="BodyCopy"/>
            </w:pPr>
            <w:r w:rsidRPr="002A1163">
              <w:t>Creates structured and accessible digital content</w:t>
            </w:r>
          </w:p>
        </w:tc>
        <w:tc>
          <w:tcPr>
            <w:tcW w:w="0" w:type="auto"/>
            <w:hideMark/>
          </w:tcPr>
          <w:p w14:paraId="6C038EDB" w14:textId="77777777" w:rsidR="006579C9" w:rsidRPr="002A1163" w:rsidRDefault="006579C9" w:rsidP="00361BA2">
            <w:pPr>
              <w:pStyle w:val="BodyCopy"/>
            </w:pPr>
            <w:r w:rsidRPr="002A1163">
              <w:t>Integrates accessibility into digital workflows and platform selection</w:t>
            </w:r>
          </w:p>
        </w:tc>
        <w:tc>
          <w:tcPr>
            <w:tcW w:w="0" w:type="auto"/>
            <w:hideMark/>
          </w:tcPr>
          <w:p w14:paraId="5F8C6357" w14:textId="77777777" w:rsidR="006579C9" w:rsidRPr="002A1163" w:rsidRDefault="006579C9" w:rsidP="00361BA2">
            <w:pPr>
              <w:pStyle w:val="BodyCopy"/>
            </w:pPr>
            <w:r w:rsidRPr="002A1163">
              <w:t>Supports adoption of accessibility standards across systems and services</w:t>
            </w:r>
          </w:p>
        </w:tc>
      </w:tr>
      <w:tr w:rsidR="00500ABF" w:rsidRPr="002A1163" w14:paraId="545D02F0" w14:textId="77777777" w:rsidTr="00361BA2">
        <w:tc>
          <w:tcPr>
            <w:tcW w:w="0" w:type="auto"/>
            <w:shd w:val="clear" w:color="auto" w:fill="FFF200"/>
            <w:hideMark/>
          </w:tcPr>
          <w:p w14:paraId="52EF946E" w14:textId="77777777" w:rsidR="006579C9" w:rsidRPr="00361BA2" w:rsidRDefault="006579C9" w:rsidP="00361BA2">
            <w:pPr>
              <w:pStyle w:val="BodyCopy"/>
              <w:rPr>
                <w:b/>
                <w:bCs/>
              </w:rPr>
            </w:pPr>
            <w:r w:rsidRPr="00361BA2">
              <w:rPr>
                <w:b/>
                <w:bCs/>
              </w:rPr>
              <w:t>Organizational accessibility and accountability</w:t>
            </w:r>
          </w:p>
        </w:tc>
        <w:tc>
          <w:tcPr>
            <w:tcW w:w="0" w:type="auto"/>
            <w:hideMark/>
          </w:tcPr>
          <w:p w14:paraId="4C1E1E72" w14:textId="77777777" w:rsidR="006579C9" w:rsidRPr="002A1163" w:rsidRDefault="006579C9" w:rsidP="00361BA2">
            <w:pPr>
              <w:pStyle w:val="BodyCopy"/>
            </w:pPr>
            <w:r w:rsidRPr="002A1163">
              <w:t>Recognizes accessibility is influenced by organizational structures</w:t>
            </w:r>
          </w:p>
        </w:tc>
        <w:tc>
          <w:tcPr>
            <w:tcW w:w="0" w:type="auto"/>
            <w:hideMark/>
          </w:tcPr>
          <w:p w14:paraId="3A82D720" w14:textId="77777777" w:rsidR="006579C9" w:rsidRPr="002A1163" w:rsidRDefault="006579C9" w:rsidP="00361BA2">
            <w:pPr>
              <w:pStyle w:val="BodyCopy"/>
            </w:pPr>
            <w:r w:rsidRPr="002A1163">
              <w:t>Understands role responsibilities related to accessibility processes</w:t>
            </w:r>
          </w:p>
        </w:tc>
        <w:tc>
          <w:tcPr>
            <w:tcW w:w="0" w:type="auto"/>
            <w:hideMark/>
          </w:tcPr>
          <w:p w14:paraId="4883CD0D" w14:textId="77777777" w:rsidR="006579C9" w:rsidRPr="002A1163" w:rsidRDefault="006579C9" w:rsidP="00361BA2">
            <w:pPr>
              <w:pStyle w:val="BodyCopy"/>
            </w:pPr>
            <w:r w:rsidRPr="002A1163">
              <w:t>Integrates accessibility into governance and operational coordination structures</w:t>
            </w:r>
          </w:p>
        </w:tc>
        <w:tc>
          <w:tcPr>
            <w:tcW w:w="0" w:type="auto"/>
            <w:hideMark/>
          </w:tcPr>
          <w:p w14:paraId="035E512E" w14:textId="77777777" w:rsidR="006579C9" w:rsidRPr="002A1163" w:rsidRDefault="006579C9" w:rsidP="00361BA2">
            <w:pPr>
              <w:pStyle w:val="BodyCopy"/>
            </w:pPr>
            <w:r w:rsidRPr="002A1163">
              <w:t>Aligns strategy, accountability mechanisms, and resource allocation with accessibility priorities</w:t>
            </w:r>
          </w:p>
        </w:tc>
      </w:tr>
    </w:tbl>
    <w:p w14:paraId="0F4697FE" w14:textId="1E6B2713" w:rsidR="00C664EF" w:rsidRDefault="00C664EF" w:rsidP="006579C9"/>
    <w:p w14:paraId="0FC6B788" w14:textId="77777777" w:rsidR="00C664EF" w:rsidRDefault="00C664EF">
      <w:r>
        <w:br w:type="page"/>
      </w:r>
    </w:p>
    <w:p w14:paraId="4BD0729F" w14:textId="77777777" w:rsidR="00A37892" w:rsidRDefault="00A37892" w:rsidP="006579C9">
      <w:pPr>
        <w:sectPr w:rsidR="00A37892" w:rsidSect="006579C9">
          <w:pgSz w:w="15840" w:h="12240" w:orient="landscape"/>
          <w:pgMar w:top="1440" w:right="1440" w:bottom="1440" w:left="1440" w:header="720" w:footer="720" w:gutter="0"/>
          <w:cols w:space="720"/>
          <w:docGrid w:linePitch="381"/>
        </w:sectPr>
      </w:pPr>
    </w:p>
    <w:p w14:paraId="14F44138" w14:textId="66C54C3A" w:rsidR="00507B48" w:rsidRDefault="00A37892" w:rsidP="00507B48">
      <w:pPr>
        <w:pStyle w:val="Heading2"/>
      </w:pPr>
      <w:bookmarkStart w:id="45" w:name="_Toc243923430"/>
      <w:r>
        <w:lastRenderedPageBreak/>
        <w:t xml:space="preserve">Chapter 5. </w:t>
      </w:r>
      <w:r w:rsidR="00507B48" w:rsidRPr="00507B48">
        <w:t>Future Research and Considerations</w:t>
      </w:r>
      <w:bookmarkEnd w:id="45"/>
    </w:p>
    <w:p w14:paraId="0D3B5D71" w14:textId="77777777" w:rsidR="00507B48" w:rsidRPr="00507B48" w:rsidRDefault="00507B48" w:rsidP="00507B48"/>
    <w:p w14:paraId="7976D004" w14:textId="77777777" w:rsidR="00507B48" w:rsidRPr="00507B48" w:rsidRDefault="00507B48" w:rsidP="00507B48">
      <w:pPr>
        <w:pStyle w:val="BodyCopy"/>
      </w:pPr>
      <w:r w:rsidRPr="00507B48">
        <w:t>Building a culture of accessibility is an ongoing journey. The previous chapters of this report, from the literature review and environmental scan to the organizational IDEA audit and co-design process, underscored critical themes that point to areas where further research and action are needed. Common findings include the persistent gap between formal commitments and everyday practice, the central importance of organizational culture and attitudes, and the need for stronger evidence on what works to develop accessibility competencies across roles. As organizations strive to move beyond compliance to sustainable inclusion, they face pressing questions that researchers and practitioners must address. This chapter identifies key areas for future research and acknowledges two emerging studies, a CNIB–Ipsos survey of public attitudes and a workplace social dynamics project, that exemplify how these knowledge gaps are beginning to be tackled.</w:t>
      </w:r>
    </w:p>
    <w:p w14:paraId="5E171F04" w14:textId="77777777" w:rsidR="00507B48" w:rsidRPr="00507B48" w:rsidRDefault="00507B48" w:rsidP="00507B48">
      <w:pPr>
        <w:pStyle w:val="BodyCopy"/>
      </w:pPr>
      <w:r w:rsidRPr="00507B48">
        <w:t>In synthesizing insights from earlier chapters, several broad themes emerge as priorities for future inquiry:</w:t>
      </w:r>
    </w:p>
    <w:p w14:paraId="380DB625" w14:textId="77777777" w:rsidR="00507B48" w:rsidRPr="00507B48" w:rsidRDefault="00507B48" w:rsidP="0034071F">
      <w:pPr>
        <w:pStyle w:val="BodyCopy"/>
        <w:numPr>
          <w:ilvl w:val="0"/>
          <w:numId w:val="16"/>
        </w:numPr>
      </w:pPr>
      <w:r w:rsidRPr="0034071F">
        <w:rPr>
          <w:b/>
          <w:bCs/>
        </w:rPr>
        <w:t>Closing the Policy–Practice Gap:</w:t>
      </w:r>
      <w:r w:rsidRPr="00507B48">
        <w:t xml:space="preserve"> How can organizations more effectively implement and measure the accessibility initiatives that prior chapters identified as critical? The Accessibility and Inclusion Competencies Framework introduced in this report provides a roadmap, but additional research is needed on how diverse organizations can adopt these competencies in practice and what impact this has on organizational performance and culture. For instance, longitudinal and comparative studies could examine how </w:t>
      </w:r>
      <w:r w:rsidRPr="00507B48">
        <w:lastRenderedPageBreak/>
        <w:t>different sectors or smaller organizations operationalize the five competency domains (co-design, born-accessible design, inclusive communication, digital accessibility, and organizational accountability) and whether integrating these competencies leads to measurable improvements in inclusion outcomes over time. There is also a need for robust evaluation methods, such as maturity models, metrics, and qualitative indicators, to track progress in building accessibility capacity and to identify which interventions, including training programs, policy changes, and leadership initiatives, yield sustainable changes in workplace culture.</w:t>
      </w:r>
    </w:p>
    <w:p w14:paraId="01116D2E" w14:textId="77777777" w:rsidR="00507B48" w:rsidRPr="00507B48" w:rsidRDefault="00507B48" w:rsidP="0034071F">
      <w:pPr>
        <w:pStyle w:val="BodyCopy"/>
        <w:numPr>
          <w:ilvl w:val="0"/>
          <w:numId w:val="16"/>
        </w:numPr>
      </w:pPr>
      <w:r w:rsidRPr="0034071F">
        <w:rPr>
          <w:b/>
          <w:bCs/>
        </w:rPr>
        <w:t>Transforming Attitudes and Culture:</w:t>
      </w:r>
      <w:r w:rsidRPr="00507B48">
        <w:t xml:space="preserve"> A recurring insight is that attitudinal barriers and stigma around disability remain entrenched in many workplaces. Employees with disabilities often still fear disclosure due to concerns about negative stereotypes or career penalties. This report’s findings highlight that fostering an inclusive culture, where accessibility is everyone’s responsibility, requires shifting underlying social norms and perceptions. Future research should therefore continue to explore strategies for attitude change and bias reduction at both the organizational and societal levels. In particular, two emerging research initiatives under the CNIB’s broader inclusion research program, funded alongside this competency framework project, are directly addressing these cultural dimensions. These include a national study of public attitudes toward people with sight loss, and a field study on interpersonal relationships in visually diverse workplaces. These projects extend the core themes of this report and open new avenues for inquiry.</w:t>
      </w:r>
    </w:p>
    <w:p w14:paraId="149638FB" w14:textId="77777777" w:rsidR="00507B48" w:rsidRPr="00507B48" w:rsidRDefault="00507B48" w:rsidP="00CB40B5">
      <w:pPr>
        <w:pStyle w:val="Heading3"/>
      </w:pPr>
      <w:bookmarkStart w:id="46" w:name="_Toc243923431"/>
      <w:r w:rsidRPr="00507B48">
        <w:t>Public Attitudes and Social Norms: Insights from the CNIB–Ipsos Study</w:t>
      </w:r>
      <w:bookmarkEnd w:id="46"/>
    </w:p>
    <w:p w14:paraId="6214C2A9" w14:textId="1857CA00" w:rsidR="00507B48" w:rsidRPr="00507B48" w:rsidRDefault="00507B48" w:rsidP="00507B48">
      <w:pPr>
        <w:pStyle w:val="BodyCopy"/>
      </w:pPr>
      <w:r w:rsidRPr="00507B48">
        <w:t xml:space="preserve">One important direction for future research is to better understand public attitudes toward </w:t>
      </w:r>
      <w:r w:rsidR="0034071F">
        <w:t>persons</w:t>
      </w:r>
      <w:r w:rsidRPr="00507B48">
        <w:t xml:space="preserve"> with disabilities, and how those attitudes might </w:t>
      </w:r>
      <w:r w:rsidRPr="00507B48">
        <w:lastRenderedPageBreak/>
        <w:t xml:space="preserve">facilitate or hinder workplace inclusion. A recent CNIB-commissioned study, in partnership with Ipsos, took a novel approach to this issue by surveying over 2,000 adults across Canada to gauge feelings, thoughts, and intended behaviors toward a person who is blind or partially sighted. Led by </w:t>
      </w:r>
      <w:r w:rsidR="004C3478" w:rsidRPr="00507B48">
        <w:t>Dr. Christine Hochbaum</w:t>
      </w:r>
      <w:r w:rsidR="004C3478">
        <w:t xml:space="preserve"> and </w:t>
      </w:r>
      <w:r w:rsidR="004C3478" w:rsidRPr="00507B48">
        <w:t>Michaela Knot</w:t>
      </w:r>
      <w:r w:rsidRPr="00507B48">
        <w:t>, this study utilized a modified Multi-Dimensional Attitudes Scale (MAS) toward persons with disabilities. Participants were presented with a realistic scenario, a person using a white cane entering a coffee shop, and asked about their emotional, cognitive, and behavioral reactions. The experimental design included two versions of the scenario, one with and one without the visible disability cue of the white cane, to detect differences in responses.</w:t>
      </w:r>
    </w:p>
    <w:p w14:paraId="517CABB1" w14:textId="77777777" w:rsidR="00507B48" w:rsidRPr="00507B48" w:rsidRDefault="00507B48" w:rsidP="00507B48">
      <w:pPr>
        <w:pStyle w:val="BodyCopy"/>
      </w:pPr>
      <w:r w:rsidRPr="00507B48">
        <w:t>Preliminary results revealed a telling pattern. Respondents in the white cane condition reported more positive thoughts and a lower likelihood of negative reactions compared to the control group, even though some negative feelings, such as anxiety about doing something wrong, were actually higher in the presence of a person with sight loss. This divergence suggests the operation of social desirability bias. People often adjusted their answers to appear kind and unprejudiced toward individuals with vision loss, potentially masking true implicit biases. In other words, public respondents knew the socially correct attitudes to express, such as being comfortable and friendly, even if they internally felt uncertainty, pity, or discomfort. The study’s authors noted that the experimental group took longer to complete the survey, indicating respondents were juggling their personal attitudes and how they thought they should respond in front of a socially sensitive scenario. This aligns with broader literature suggesting that explicit biases toward people with disabilities have decreased over time, while implicit biases and ingrained stereotypes can persist beneath the surface.</w:t>
      </w:r>
    </w:p>
    <w:p w14:paraId="36D382D0" w14:textId="77777777" w:rsidR="00507B48" w:rsidRPr="00507B48" w:rsidRDefault="00507B48" w:rsidP="00507B48">
      <w:pPr>
        <w:pStyle w:val="BodyCopy"/>
      </w:pPr>
      <w:r w:rsidRPr="00507B48">
        <w:t xml:space="preserve">These findings underscore the need for further research in several areas. First, researchers and practitioners should develop better tools for measuring implicit bias and social attitudes in ways that reduce the </w:t>
      </w:r>
      <w:r w:rsidRPr="00507B48">
        <w:lastRenderedPageBreak/>
        <w:t>influence of social desirability. The MAS-based approach is a promising start, but follow-up studies could incorporate implicit association tests or observational methods to capture more genuine reactions. Second, there is a clear rationale to investigate how public attitudes and misconceptions are shaped by social norms and exposure to disability. For instance, the CNIB–Ipsos survey found that respondents with personal contact or friendships with people who have vision loss tended to express more naturally positive and less biased attitudes. This raises important questions about public education. Which types of contact or messaging can dispel myths and reduce discomfort around disability? Third, the study suggests that people may overestimate their own comfort and appropriate behavior, highlighting an area for future intervention research. Programs that simulate real-life interactions, such as virtual reality or role-playing, could be tested for their effectiveness in uncovering and then reducing implicit biases. Ultimately, studies like the CNIB–Ipsos survey point to the need for broader societal change as a foundation for workplace inclusion. If bias and stigma in the general public remain, they will continue to spill over into workplace interactions and organizational culture. Ongoing research should therefore track public attitudes over time to see if initiatives like public awareness campaigns are moving the needle, and examine the links between public sentiment and the experiences of job seekers or employees with disabilities.</w:t>
      </w:r>
    </w:p>
    <w:p w14:paraId="6B4E3369" w14:textId="77777777" w:rsidR="00507B48" w:rsidRPr="00507B48" w:rsidRDefault="00507B48" w:rsidP="00CB40B5">
      <w:pPr>
        <w:pStyle w:val="Heading3"/>
      </w:pPr>
      <w:bookmarkStart w:id="47" w:name="_Toc243923432"/>
      <w:r w:rsidRPr="00507B48">
        <w:t>Interpersonal Relationships and Workplace Inclusion: The Role of Friendships</w:t>
      </w:r>
      <w:bookmarkEnd w:id="47"/>
    </w:p>
    <w:p w14:paraId="321738C8" w14:textId="77777777" w:rsidR="00507B48" w:rsidRPr="00507B48" w:rsidRDefault="00507B48" w:rsidP="00507B48">
      <w:pPr>
        <w:pStyle w:val="BodyCopy"/>
      </w:pPr>
      <w:r w:rsidRPr="00507B48">
        <w:t xml:space="preserve">A second emerging research direction focuses on the workplace itself, specifically, the social relationships between employees with and without disabilities, as a lever for inclusion. While earlier chapters of this report emphasized policies, training, and organizational structures, social dynamics on the ground also play a crucial role in whether an inclusive culture truly takes hold. The importance of co-worker attitudes and </w:t>
      </w:r>
      <w:r w:rsidRPr="00507B48">
        <w:lastRenderedPageBreak/>
        <w:t>interactions was evident throughout our findings. For example, some supervisors and colleagues still hold lowered expectations or stereotypes about employees with disabilities. To address these interpersonal dimensions of inclusion, a new study led by Chad Danyluck (Carleton University), with contributions from Michaela Knot and Kathy Beitz, is examining how friendships in visually diverse workplaces, those with a mix of employees with and without sight loss, can influence team cohesion, respect, and the breakdown of bias.</w:t>
      </w:r>
    </w:p>
    <w:p w14:paraId="3FEA3164" w14:textId="4E84C337" w:rsidR="00507B48" w:rsidRPr="00507B48" w:rsidRDefault="00507B48" w:rsidP="00507B48">
      <w:pPr>
        <w:pStyle w:val="BodyCopy"/>
      </w:pPr>
      <w:r w:rsidRPr="00507B48">
        <w:t>This ongoing research, is grounded in social and organizational psychology theories. It starts from evidence that friendships across social group lines, such as between disabled and non-disabled colleagues, can significantly reduce prejudice and ableist attitudes, while improving job satisfaction and commitment. However, there is a knowledge gap. These positive effects of friendship have not been thoroughly studied in the context of disability in workplaces. The study explores a nuanced question. What kinds of interpersonal dynamics best promote inclusion? One hypothesis is that highlighting personal commonalities, such as shared interests, values, or goals between colleagues, will facilitate friendship formation. Another insight is that sustaining meaningful intergroup friendships may also require recognizing and valuing differences, such as each group’s distinct identity, to avoid eroding important aspects of identity. In other words, colleagues might bond more strongly when they discover shared interests and when employees without disabilities appreciate the unique experiences of their peers with sight loss, rather than pretending differences do not exist.</w:t>
      </w:r>
    </w:p>
    <w:p w14:paraId="16758FEA" w14:textId="77777777" w:rsidR="00507B48" w:rsidRPr="00507B48" w:rsidRDefault="00507B48" w:rsidP="00507B48">
      <w:pPr>
        <w:pStyle w:val="BodyCopy"/>
      </w:pPr>
      <w:r w:rsidRPr="00507B48">
        <w:t xml:space="preserve">To test these ideas, Danyluck’s team has designed an experimental survey in which participants are presented with workplace scenarios involving colleagues with and without vision loss, manipulating the emphasis on interpersonal similarity versus group difference in each scenario. The study aims to identify which conditions lead to greater comfort, willingness to collaborate, and mutual respect between sighted and non-sighted co-workers. Early qualitative observations suggest that both emphasizing </w:t>
      </w:r>
      <w:r w:rsidRPr="00507B48">
        <w:lastRenderedPageBreak/>
        <w:t>common ground and acknowledging distinct perspectives can engender a sense of trust and self-expansion, where individuals broaden their understanding by incorporating the perspectives of someone with a different lived experience. This line of research aligns closely with our competency framework’s co-design and cultural humility principles. It seeks practical ways for employees to build authentic relationships across difference, thereby operationalizing the report’s call for “Nothing About Us, Without Us” in daily work life.</w:t>
      </w:r>
    </w:p>
    <w:p w14:paraId="371EBB88" w14:textId="37BA96FB" w:rsidR="00507B48" w:rsidRPr="00507B48" w:rsidRDefault="00507B48" w:rsidP="00507B48">
      <w:pPr>
        <w:pStyle w:val="BodyCopy"/>
      </w:pPr>
      <w:r w:rsidRPr="00507B48">
        <w:t xml:space="preserve">The broader implications of this inquiry extend to developing evidence-based interventions for organizations. If, for example, encouraging mentorship programs, employee resource groups, or structured team-building activities around shared interests is shown to significantly improve attitudes and reduce subtle biases, these strategies could be recommended as part of accessibility and inclusion initiatives. Additionally, this work will inform the competency framework by highlighting the interpersonal skills, such as empathy, active listening, and openness to diverse perspectives, that should be cultivated at every level of an organization. It also offers a fresh take on organizational accessibility as a social network phenomenon. Inclusion may flourish not just from top-down policy but also from the bottom-up growth of personal connections. Continued research in this area will help answer questions such as, </w:t>
      </w:r>
      <w:r w:rsidR="00ED6127">
        <w:t>h</w:t>
      </w:r>
      <w:r w:rsidRPr="00507B48">
        <w:t xml:space="preserve">ow can employers facilitate positive intergroup contact? and </w:t>
      </w:r>
      <w:r w:rsidR="00ED6127">
        <w:t>i</w:t>
      </w:r>
      <w:r w:rsidRPr="00507B48">
        <w:t>n what ways do informal social bonds translate into measurable improvements in workplace inclusion, such as higher rates of self-disclosure, better teamwork, or reduced turnover for employees with disabilities?</w:t>
      </w:r>
    </w:p>
    <w:p w14:paraId="310D1ABD" w14:textId="77777777" w:rsidR="00507B48" w:rsidRPr="00507B48" w:rsidRDefault="00507B48" w:rsidP="00CB40B5">
      <w:pPr>
        <w:pStyle w:val="Heading3"/>
      </w:pPr>
      <w:bookmarkStart w:id="48" w:name="_Toc243923433"/>
      <w:r w:rsidRPr="00507B48">
        <w:t>Embracing Emerging Technologies and New Frontiers</w:t>
      </w:r>
      <w:bookmarkEnd w:id="48"/>
    </w:p>
    <w:p w14:paraId="5EC77F54" w14:textId="77777777" w:rsidR="00507B48" w:rsidRPr="00507B48" w:rsidRDefault="00507B48" w:rsidP="00507B48">
      <w:pPr>
        <w:pStyle w:val="BodyCopy"/>
      </w:pPr>
      <w:r w:rsidRPr="00507B48">
        <w:t xml:space="preserve">Another area demanding attention is the rapid evolution of workplace technology and its interplay with accessibility. As noted in Chapter 4, the rise of artificial intelligence, automation, and other advanced digital tools is transforming workplaces. With that comes both new opportunities and new </w:t>
      </w:r>
      <w:r w:rsidRPr="00507B48">
        <w:lastRenderedPageBreak/>
        <w:t>risks for accessibility. For instance, AI-driven recruitment platforms might inadvertently encode bias against candidates with disabilities, or new collaboration tools might present unforeseen barriers to employees with vision or hearing loss. Conversely, technologies like AI-powered assistive tools, such as smart screen-readers or real-time transcription services, hold promise for enhancing accessibility if developed and deployed thoughtfully. Future research should investigate how emerging technologies alter the competency requirements for organizations and workers. Some pertinent research questions include: What new skills do IT developers, HR professionals, and managers need in order to ensure AI systems are accessible and fair? How can accessibility professionals be involved earlier in tech design and procurement processes to prevent new barriers? Accessibility must be treated as a sociotechnical issue. Studies that examine technology implementation in tandem with organizational culture are especially valuable. Proactive research and user-centered design testing of workplace AI and digital tools, for example, testing an AI recruiting tool for biases with candidates with disabilities, or using Inclusive Design principles to guide new software development, will be critical to anticipate and mitigate adverse impacts on employees with disabilities. Additionally, tracking how companies integrate digital accessibility competencies, such as compliance with evolving standards and employee training on accessible content creation, could inform updates to our framework and best-practice guidelines. As technology continues to advance, ongoing collaboration between accessibility experts, tech designers, and end-users with disabilities will be essential to keep inclusion strategies up-to-date.</w:t>
      </w:r>
    </w:p>
    <w:p w14:paraId="266C9BF9" w14:textId="77777777" w:rsidR="00507B48" w:rsidRPr="00507B48" w:rsidRDefault="00507B48" w:rsidP="00CB40B5">
      <w:pPr>
        <w:pStyle w:val="Heading3"/>
      </w:pPr>
      <w:bookmarkStart w:id="49" w:name="_Toc243923434"/>
      <w:r w:rsidRPr="00507B48">
        <w:t>Expanding the Scope of Accessibility Competencies</w:t>
      </w:r>
      <w:bookmarkEnd w:id="49"/>
    </w:p>
    <w:p w14:paraId="2FA86CDC" w14:textId="77777777" w:rsidR="00507B48" w:rsidRPr="00507B48" w:rsidRDefault="00507B48" w:rsidP="00507B48">
      <w:pPr>
        <w:pStyle w:val="BodyCopy"/>
      </w:pPr>
      <w:r w:rsidRPr="00507B48">
        <w:t xml:space="preserve">Finally, research should consider broadening the scope of accessibility competencies and exploring areas that fell outside the immediate focus of this project. One such area is the built environment. Our framework </w:t>
      </w:r>
      <w:r w:rsidRPr="00507B48">
        <w:lastRenderedPageBreak/>
        <w:t>primarily incorporated physical environment considerations within the domain of inclusive communication and participation, for example, ensuring meeting spaces are physically accessible. However, the question remains whether built environment accessibility warrants a dedicated domain or expanded set of competencies in future models. For instance, sectors like manufacturing, retail, or transportation, where physical spaces and ergonomic design are paramount, might benefit from a more granular competency breakdown related to inclusive space design and health and safety for people with disabilities. Research could explore this by examining how physical accessibility expertise is distributed in organizations and whether organizations with stronger competencies in this area see better outcomes, such as improved hiring or retention of people with mobility, visual, or other disabilities.</w:t>
      </w:r>
    </w:p>
    <w:p w14:paraId="28221898" w14:textId="7140CFE9" w:rsidR="006579C9" w:rsidRDefault="00507B48" w:rsidP="008A1C04">
      <w:pPr>
        <w:pStyle w:val="BodyCopy"/>
      </w:pPr>
      <w:r w:rsidRPr="00507B48">
        <w:t xml:space="preserve">Another dimension for expansion is applying an intersectional lens to accessibility competencies. Chapter 2 highlighted that individuals with disabilities do not have single-issue identities. Factors like gender, race, and age intersect with disability to shape unique workplace experiences and potential disadvantages. Future research might investigate how accessibility initiatives can be tailored to address these intersectional experiences, for example, the experiences of women with disabilities at work, or the needs of Indigenous peoples with disabilities in organizational contexts. This could lead to additional competency considerations or specialized training modules to ensure truly inclusive workplaces for all. Moreover, continued inquiry into co-design as a long-term organizational learning mechanism is warranted. Our project demonstrated the value of involving employees with disabilities in developing solutions. Researchers could build on this by studying how sustained co-design, through advisory committees or employee resource groups, impacts organizational change over several years. Such studies connect to concepts of epistemic justice and cultural humility, examining how elevating the voices of those with lived </w:t>
      </w:r>
      <w:r w:rsidRPr="00507B48">
        <w:lastRenderedPageBreak/>
        <w:t>experience influences not only policies and tools, but also the underlying power dynamics and norms of workplaces.</w:t>
      </w:r>
    </w:p>
    <w:p w14:paraId="297C7E02" w14:textId="599D6668" w:rsidR="008A1C04" w:rsidRPr="008A1C04" w:rsidRDefault="00397FFE" w:rsidP="00397FFE">
      <w:pPr>
        <w:pStyle w:val="BodyCopy"/>
      </w:pPr>
      <w:r w:rsidRPr="00397FFE">
        <w:rPr>
          <w:b/>
          <w:bCs/>
        </w:rPr>
        <w:t xml:space="preserve">Table </w:t>
      </w:r>
      <w:r w:rsidRPr="00397FFE">
        <w:rPr>
          <w:b/>
          <w:bCs/>
        </w:rPr>
        <w:fldChar w:fldCharType="begin"/>
      </w:r>
      <w:r w:rsidRPr="00397FFE">
        <w:rPr>
          <w:b/>
          <w:bCs/>
        </w:rPr>
        <w:instrText xml:space="preserve"> SEQ Table \* ARABIC </w:instrText>
      </w:r>
      <w:r w:rsidRPr="00397FFE">
        <w:rPr>
          <w:b/>
          <w:bCs/>
        </w:rPr>
        <w:fldChar w:fldCharType="separate"/>
      </w:r>
      <w:r w:rsidRPr="00397FFE">
        <w:rPr>
          <w:b/>
          <w:bCs/>
          <w:noProof/>
        </w:rPr>
        <w:t>7</w:t>
      </w:r>
      <w:r w:rsidRPr="00397FFE">
        <w:rPr>
          <w:b/>
          <w:bCs/>
        </w:rPr>
        <w:fldChar w:fldCharType="end"/>
      </w:r>
      <w:r w:rsidRPr="00397FFE">
        <w:rPr>
          <w:b/>
          <w:bCs/>
        </w:rPr>
        <w:t>.</w:t>
      </w:r>
      <w:r>
        <w:t xml:space="preserve"> </w:t>
      </w:r>
      <w:r w:rsidRPr="007606BA">
        <w:t>Key Future Research Areas</w:t>
      </w:r>
    </w:p>
    <w:tbl>
      <w:tblPr>
        <w:tblStyle w:val="TableGrid"/>
        <w:tblW w:w="0" w:type="auto"/>
        <w:tblLook w:val="04A0" w:firstRow="1" w:lastRow="0" w:firstColumn="1" w:lastColumn="0" w:noHBand="0" w:noVBand="1"/>
      </w:tblPr>
      <w:tblGrid>
        <w:gridCol w:w="2406"/>
        <w:gridCol w:w="3397"/>
        <w:gridCol w:w="3547"/>
      </w:tblGrid>
      <w:tr w:rsidR="008A1C04" w:rsidRPr="008A1C04" w14:paraId="26A4AE8B" w14:textId="77777777" w:rsidTr="00397FFE">
        <w:trPr>
          <w:tblHeader/>
        </w:trPr>
        <w:tc>
          <w:tcPr>
            <w:tcW w:w="0" w:type="auto"/>
            <w:shd w:val="clear" w:color="auto" w:fill="FFF200"/>
            <w:hideMark/>
          </w:tcPr>
          <w:p w14:paraId="27FADF4E" w14:textId="77777777" w:rsidR="008A1C04" w:rsidRPr="008A1C04" w:rsidRDefault="008A1C04" w:rsidP="008A1C04">
            <w:pPr>
              <w:pStyle w:val="BodyCopy"/>
              <w:rPr>
                <w:b/>
                <w:bCs/>
              </w:rPr>
            </w:pPr>
            <w:r w:rsidRPr="008A1C04">
              <w:rPr>
                <w:b/>
                <w:bCs/>
              </w:rPr>
              <w:t>Future Research Area</w:t>
            </w:r>
          </w:p>
        </w:tc>
        <w:tc>
          <w:tcPr>
            <w:tcW w:w="0" w:type="auto"/>
            <w:shd w:val="clear" w:color="auto" w:fill="FFF200"/>
            <w:hideMark/>
          </w:tcPr>
          <w:p w14:paraId="5E557F3D" w14:textId="77777777" w:rsidR="008A1C04" w:rsidRPr="008A1C04" w:rsidRDefault="008A1C04" w:rsidP="008A1C04">
            <w:pPr>
              <w:pStyle w:val="BodyCopy"/>
              <w:rPr>
                <w:b/>
                <w:bCs/>
              </w:rPr>
            </w:pPr>
            <w:r w:rsidRPr="008A1C04">
              <w:rPr>
                <w:b/>
                <w:bCs/>
              </w:rPr>
              <w:t>Rationale</w:t>
            </w:r>
          </w:p>
        </w:tc>
        <w:tc>
          <w:tcPr>
            <w:tcW w:w="0" w:type="auto"/>
            <w:shd w:val="clear" w:color="auto" w:fill="FFF200"/>
            <w:hideMark/>
          </w:tcPr>
          <w:p w14:paraId="10FF2114" w14:textId="77777777" w:rsidR="008A1C04" w:rsidRPr="008A1C04" w:rsidRDefault="008A1C04" w:rsidP="008A1C04">
            <w:pPr>
              <w:pStyle w:val="BodyCopy"/>
              <w:rPr>
                <w:b/>
                <w:bCs/>
              </w:rPr>
            </w:pPr>
            <w:r w:rsidRPr="008A1C04">
              <w:rPr>
                <w:b/>
                <w:bCs/>
              </w:rPr>
              <w:t>Potential Research Questions</w:t>
            </w:r>
          </w:p>
        </w:tc>
      </w:tr>
      <w:tr w:rsidR="008A1C04" w:rsidRPr="008A1C04" w14:paraId="2C2FC4EA" w14:textId="77777777" w:rsidTr="00397FFE">
        <w:tc>
          <w:tcPr>
            <w:tcW w:w="0" w:type="auto"/>
            <w:shd w:val="clear" w:color="auto" w:fill="FFF200"/>
            <w:hideMark/>
          </w:tcPr>
          <w:p w14:paraId="16C8DFC4" w14:textId="77777777" w:rsidR="008A1C04" w:rsidRPr="008A1C04" w:rsidRDefault="008A1C04" w:rsidP="008A1C04">
            <w:pPr>
              <w:pStyle w:val="BodyCopy"/>
              <w:rPr>
                <w:b/>
                <w:bCs/>
              </w:rPr>
            </w:pPr>
            <w:r w:rsidRPr="008A1C04">
              <w:rPr>
                <w:b/>
                <w:bCs/>
              </w:rPr>
              <w:t>Public attitudes and implicit bias toward disability</w:t>
            </w:r>
          </w:p>
        </w:tc>
        <w:tc>
          <w:tcPr>
            <w:tcW w:w="0" w:type="auto"/>
            <w:hideMark/>
          </w:tcPr>
          <w:p w14:paraId="333D30CE" w14:textId="77777777" w:rsidR="008A1C04" w:rsidRPr="008A1C04" w:rsidRDefault="008A1C04" w:rsidP="008A1C04">
            <w:pPr>
              <w:pStyle w:val="BodyCopy"/>
            </w:pPr>
            <w:r w:rsidRPr="008A1C04">
              <w:t>Social attitudes shape workplace climate and hiring decisions. The CNIB–Ipsos survey found evidence of social desirability bias, implying that negative biases persist under the surface. Understanding these biases is crucial for designing effective public education and stigma-reduction initiatives.</w:t>
            </w:r>
          </w:p>
        </w:tc>
        <w:tc>
          <w:tcPr>
            <w:tcW w:w="0" w:type="auto"/>
            <w:hideMark/>
          </w:tcPr>
          <w:p w14:paraId="4D861711" w14:textId="77777777" w:rsidR="008A1C04" w:rsidRPr="008A1C04" w:rsidRDefault="008A1C04" w:rsidP="008A1C04">
            <w:pPr>
              <w:pStyle w:val="BodyCopy"/>
            </w:pPr>
            <w:r w:rsidRPr="008A1C04">
              <w:t>How do implicit biases and social norms influence behavior toward people with disabilities in public and workplace settings? What strategies can reduce social desirability bias and reveal true attitudes? Which public awareness or contact-based interventions best reduce stigma and encourage more genuine social inclusion?</w:t>
            </w:r>
          </w:p>
        </w:tc>
      </w:tr>
      <w:tr w:rsidR="008A1C04" w:rsidRPr="008A1C04" w14:paraId="45253E27" w14:textId="77777777" w:rsidTr="00397FFE">
        <w:tc>
          <w:tcPr>
            <w:tcW w:w="0" w:type="auto"/>
            <w:shd w:val="clear" w:color="auto" w:fill="FFF200"/>
            <w:hideMark/>
          </w:tcPr>
          <w:p w14:paraId="3FA20166" w14:textId="77777777" w:rsidR="008A1C04" w:rsidRPr="008A1C04" w:rsidRDefault="008A1C04" w:rsidP="008A1C04">
            <w:pPr>
              <w:pStyle w:val="BodyCopy"/>
              <w:rPr>
                <w:b/>
                <w:bCs/>
              </w:rPr>
            </w:pPr>
            <w:r w:rsidRPr="008A1C04">
              <w:rPr>
                <w:b/>
                <w:bCs/>
              </w:rPr>
              <w:t>Interpersonal relationships and inclusion in the workplace</w:t>
            </w:r>
          </w:p>
        </w:tc>
        <w:tc>
          <w:tcPr>
            <w:tcW w:w="0" w:type="auto"/>
            <w:hideMark/>
          </w:tcPr>
          <w:p w14:paraId="451C8F54" w14:textId="77777777" w:rsidR="008A1C04" w:rsidRPr="008A1C04" w:rsidRDefault="008A1C04" w:rsidP="008A1C04">
            <w:pPr>
              <w:pStyle w:val="BodyCopy"/>
            </w:pPr>
            <w:r w:rsidRPr="008A1C04">
              <w:t xml:space="preserve">Day-to-day social dynamics can reinforce or break down barriers. Friendships and collegial relationships between disabled and non-disabled employees are hypothesized to decrease prejudice and </w:t>
            </w:r>
            <w:r w:rsidRPr="008A1C04">
              <w:lastRenderedPageBreak/>
              <w:t>increase team cohesion. This is a novel approach to fostering an inclusive culture.</w:t>
            </w:r>
          </w:p>
        </w:tc>
        <w:tc>
          <w:tcPr>
            <w:tcW w:w="0" w:type="auto"/>
            <w:hideMark/>
          </w:tcPr>
          <w:p w14:paraId="73B36B38" w14:textId="77777777" w:rsidR="008A1C04" w:rsidRPr="008A1C04" w:rsidRDefault="008A1C04" w:rsidP="008A1C04">
            <w:pPr>
              <w:pStyle w:val="BodyCopy"/>
            </w:pPr>
            <w:r w:rsidRPr="008A1C04">
              <w:lastRenderedPageBreak/>
              <w:t xml:space="preserve">Does facilitating friendships or mentorships between employees with and without disabilities measurably improve attitudes and teamwork? What balance of emphasizing commonalities vs. </w:t>
            </w:r>
            <w:r w:rsidRPr="008A1C04">
              <w:lastRenderedPageBreak/>
              <w:t>respecting differences yields the greatest reduction in bias? How can organizations encourage positive intergroup contact to organically reduce ableism?</w:t>
            </w:r>
          </w:p>
        </w:tc>
      </w:tr>
      <w:tr w:rsidR="008A1C04" w:rsidRPr="008A1C04" w14:paraId="0F7D85A2" w14:textId="77777777" w:rsidTr="00397FFE">
        <w:tc>
          <w:tcPr>
            <w:tcW w:w="0" w:type="auto"/>
            <w:shd w:val="clear" w:color="auto" w:fill="FFF200"/>
            <w:hideMark/>
          </w:tcPr>
          <w:p w14:paraId="40CE2CEB" w14:textId="77777777" w:rsidR="008A1C04" w:rsidRPr="008A1C04" w:rsidRDefault="008A1C04" w:rsidP="008A1C04">
            <w:pPr>
              <w:pStyle w:val="BodyCopy"/>
              <w:rPr>
                <w:b/>
                <w:bCs/>
              </w:rPr>
            </w:pPr>
            <w:r w:rsidRPr="008A1C04">
              <w:rPr>
                <w:b/>
                <w:bCs/>
              </w:rPr>
              <w:lastRenderedPageBreak/>
              <w:t>Implementing and evaluating the Accessibility Competency Framework</w:t>
            </w:r>
          </w:p>
        </w:tc>
        <w:tc>
          <w:tcPr>
            <w:tcW w:w="0" w:type="auto"/>
            <w:hideMark/>
          </w:tcPr>
          <w:p w14:paraId="409E098A" w14:textId="77777777" w:rsidR="008A1C04" w:rsidRPr="008A1C04" w:rsidRDefault="008A1C04" w:rsidP="008A1C04">
            <w:pPr>
              <w:pStyle w:val="BodyCopy"/>
            </w:pPr>
            <w:r w:rsidRPr="008A1C04">
              <w:t>A competency model is only as effective as its uptake. Many organizations struggle to move from intent to action. There is scant empirical research on best practices for training and capacity-building in this area. Rigorous evaluation is needed to know what works.</w:t>
            </w:r>
          </w:p>
        </w:tc>
        <w:tc>
          <w:tcPr>
            <w:tcW w:w="0" w:type="auto"/>
            <w:hideMark/>
          </w:tcPr>
          <w:p w14:paraId="09E0C8A1" w14:textId="77777777" w:rsidR="008A1C04" w:rsidRPr="008A1C04" w:rsidRDefault="008A1C04" w:rsidP="008A1C04">
            <w:pPr>
              <w:pStyle w:val="BodyCopy"/>
            </w:pPr>
            <w:r w:rsidRPr="008A1C04">
              <w:t>How are different types of organizations applying the accessibility competencies in practice? What impact does adopting the framework have on outcomes? What methods can reliably measure an organization’s “accessibility maturity” over time?</w:t>
            </w:r>
          </w:p>
        </w:tc>
      </w:tr>
      <w:tr w:rsidR="008A1C04" w:rsidRPr="008A1C04" w14:paraId="3C136AF3" w14:textId="77777777" w:rsidTr="00397FFE">
        <w:tc>
          <w:tcPr>
            <w:tcW w:w="0" w:type="auto"/>
            <w:shd w:val="clear" w:color="auto" w:fill="FFF200"/>
            <w:hideMark/>
          </w:tcPr>
          <w:p w14:paraId="5D7C53B8" w14:textId="77777777" w:rsidR="008A1C04" w:rsidRPr="008A1C04" w:rsidRDefault="008A1C04" w:rsidP="008A1C04">
            <w:pPr>
              <w:pStyle w:val="BodyCopy"/>
              <w:rPr>
                <w:b/>
                <w:bCs/>
              </w:rPr>
            </w:pPr>
            <w:r w:rsidRPr="008A1C04">
              <w:rPr>
                <w:b/>
                <w:bCs/>
              </w:rPr>
              <w:t>Accessible technology and AI in the workplace</w:t>
            </w:r>
          </w:p>
        </w:tc>
        <w:tc>
          <w:tcPr>
            <w:tcW w:w="0" w:type="auto"/>
            <w:hideMark/>
          </w:tcPr>
          <w:p w14:paraId="05A498B5" w14:textId="77777777" w:rsidR="008A1C04" w:rsidRPr="008A1C04" w:rsidRDefault="008A1C04" w:rsidP="008A1C04">
            <w:pPr>
              <w:pStyle w:val="BodyCopy"/>
            </w:pPr>
            <w:r w:rsidRPr="008A1C04">
              <w:t xml:space="preserve">Rapid advances in AI and digital platforms present both new solutions and new barriers for inclusion. Research can guide how </w:t>
            </w:r>
            <w:r w:rsidRPr="008A1C04">
              <w:lastRenderedPageBreak/>
              <w:t>to harness technology for good while guarding against bias.</w:t>
            </w:r>
          </w:p>
        </w:tc>
        <w:tc>
          <w:tcPr>
            <w:tcW w:w="0" w:type="auto"/>
            <w:hideMark/>
          </w:tcPr>
          <w:p w14:paraId="16830996" w14:textId="77777777" w:rsidR="008A1C04" w:rsidRPr="008A1C04" w:rsidRDefault="008A1C04" w:rsidP="008A1C04">
            <w:pPr>
              <w:pStyle w:val="BodyCopy"/>
            </w:pPr>
            <w:r w:rsidRPr="008A1C04">
              <w:lastRenderedPageBreak/>
              <w:t xml:space="preserve">How can we ensure emerging workplace technologies are accessible and do not inadvertently discriminate? What new competencies </w:t>
            </w:r>
            <w:r w:rsidRPr="008A1C04">
              <w:lastRenderedPageBreak/>
              <w:t>are needed to manage accessibility in digital transformations? How can technologies be used to enhance inclusion, and what supports are required?</w:t>
            </w:r>
          </w:p>
        </w:tc>
      </w:tr>
      <w:tr w:rsidR="008A1C04" w:rsidRPr="008A1C04" w14:paraId="553CEEAF" w14:textId="77777777" w:rsidTr="00397FFE">
        <w:tc>
          <w:tcPr>
            <w:tcW w:w="0" w:type="auto"/>
            <w:shd w:val="clear" w:color="auto" w:fill="FFF200"/>
            <w:hideMark/>
          </w:tcPr>
          <w:p w14:paraId="4FFAD39A" w14:textId="77777777" w:rsidR="008A1C04" w:rsidRPr="008A1C04" w:rsidRDefault="008A1C04" w:rsidP="008A1C04">
            <w:pPr>
              <w:pStyle w:val="BodyCopy"/>
              <w:rPr>
                <w:b/>
                <w:bCs/>
              </w:rPr>
            </w:pPr>
            <w:r w:rsidRPr="008A1C04">
              <w:rPr>
                <w:b/>
                <w:bCs/>
              </w:rPr>
              <w:lastRenderedPageBreak/>
              <w:t>Broadening and refining accessibility competencies</w:t>
            </w:r>
          </w:p>
        </w:tc>
        <w:tc>
          <w:tcPr>
            <w:tcW w:w="0" w:type="auto"/>
            <w:hideMark/>
          </w:tcPr>
          <w:p w14:paraId="6494A74A" w14:textId="77777777" w:rsidR="008A1C04" w:rsidRPr="008A1C04" w:rsidRDefault="008A1C04" w:rsidP="008A1C04">
            <w:pPr>
              <w:pStyle w:val="BodyCopy"/>
            </w:pPr>
            <w:r w:rsidRPr="008A1C04">
              <w:t>Inclusivity is a moving target. As we learn more, frameworks should be updated. For example, built environment accessibility and intersectionality may require expanded competencies.</w:t>
            </w:r>
          </w:p>
        </w:tc>
        <w:tc>
          <w:tcPr>
            <w:tcW w:w="0" w:type="auto"/>
            <w:hideMark/>
          </w:tcPr>
          <w:p w14:paraId="35E2B4C0" w14:textId="77777777" w:rsidR="008A1C04" w:rsidRPr="008A1C04" w:rsidRDefault="008A1C04" w:rsidP="008A1C04">
            <w:pPr>
              <w:pStyle w:val="BodyCopy"/>
            </w:pPr>
            <w:r w:rsidRPr="008A1C04">
              <w:t>Should competencies related to the built environment be a distinct domain? How do intersecting identities inform specialized competencies? How can accessibility competency models remain adaptable to new domains and evolving understandings of inclusion?</w:t>
            </w:r>
          </w:p>
        </w:tc>
      </w:tr>
    </w:tbl>
    <w:p w14:paraId="2B3657EE" w14:textId="53967074" w:rsidR="00397FFE" w:rsidRPr="00397FFE" w:rsidRDefault="00397FFE" w:rsidP="00397FFE">
      <w:pPr>
        <w:pStyle w:val="BodyCopy"/>
      </w:pPr>
      <w:r w:rsidRPr="00397FFE">
        <w:t>These future research directions are highly interrelated. Progress in any one area</w:t>
      </w:r>
      <w:r w:rsidR="006972EE">
        <w:t>,</w:t>
      </w:r>
      <w:r w:rsidRPr="00397FFE">
        <w:t xml:space="preserve"> for example, reducing public stigma or developing better metrics for organizational change</w:t>
      </w:r>
      <w:r w:rsidR="006972EE">
        <w:t>,</w:t>
      </w:r>
      <w:r w:rsidRPr="00397FFE">
        <w:t xml:space="preserve"> will reinforce progress in the others by creating a more robust evidence base for accessibility and inclusion. The emerging projects on public attitudes and workplace friendships demonstrate how research can directly underpin practice: by revealing hidden biases and testing novel inclusion strategies, they feed back into the toolkit available to </w:t>
      </w:r>
      <w:r w:rsidRPr="00397FFE">
        <w:lastRenderedPageBreak/>
        <w:t>organizations committed to accessibility. In turn, as organizations implement changes based on evidence, they create new settings and data for researchers to study.</w:t>
      </w:r>
    </w:p>
    <w:p w14:paraId="5ED7FFC1" w14:textId="6DEF871A" w:rsidR="00397FFE" w:rsidRPr="00397FFE" w:rsidRDefault="00397FFE" w:rsidP="00397FFE">
      <w:pPr>
        <w:pStyle w:val="BodyCopy"/>
      </w:pPr>
      <w:r w:rsidRPr="00397FFE">
        <w:t>In summary, the journey to truly inclusive workplaces is far from finished. The work so far</w:t>
      </w:r>
      <w:r w:rsidR="006972EE">
        <w:t xml:space="preserve">, </w:t>
      </w:r>
      <w:r w:rsidRPr="00397FFE">
        <w:t>including this report’s proposed framework</w:t>
      </w:r>
      <w:r w:rsidR="006972EE">
        <w:t>,</w:t>
      </w:r>
      <w:r w:rsidRPr="00397FFE">
        <w:t xml:space="preserve"> has illuminated what needs to be done, but it has also raised important questions that only continued research and innovation can answer. By investing in these future research areas and maintaining strong partnerships between researchers, practitioners, people with lived experience, and employers, we can build on the foundation laid in this project. This will ensure that accessibility and inclusion competencies continue to evolve as a living framework, driving cultural transformation in Canadian workplaces. The path forward requires curiosity, collaboration, and a willingness to address uncomfortable questions about bias and change. By doing so, we will be better equipped to operationalize accessibility as a shared organizational capability – and, ultimately, to realize the full promise of truly inclusive workplaces where everyone can participate and thrive.</w:t>
      </w:r>
    </w:p>
    <w:p w14:paraId="4C404252" w14:textId="77777777" w:rsidR="008A1C04" w:rsidRDefault="008A1C04" w:rsidP="008A1C04">
      <w:pPr>
        <w:pStyle w:val="BodyCopy"/>
      </w:pPr>
    </w:p>
    <w:p w14:paraId="767571B6" w14:textId="77777777" w:rsidR="00397FFE" w:rsidRDefault="00397FFE">
      <w:pPr>
        <w:rPr>
          <w:rFonts w:ascii="Arial" w:eastAsiaTheme="majorEastAsia" w:hAnsi="Arial" w:cs="Arial"/>
          <w:b/>
          <w:bCs/>
          <w:sz w:val="48"/>
          <w:szCs w:val="48"/>
        </w:rPr>
      </w:pPr>
      <w:r>
        <w:br w:type="page"/>
      </w:r>
    </w:p>
    <w:p w14:paraId="2241A6D8" w14:textId="30A2F3F3" w:rsidR="00142DDD" w:rsidRPr="008F5272" w:rsidRDefault="00142DDD" w:rsidP="008F5272">
      <w:pPr>
        <w:pStyle w:val="Heading2"/>
      </w:pPr>
      <w:bookmarkStart w:id="50" w:name="_Toc243923435"/>
      <w:r w:rsidRPr="008F5272">
        <w:lastRenderedPageBreak/>
        <w:t>References</w:t>
      </w:r>
      <w:bookmarkEnd w:id="50"/>
    </w:p>
    <w:p w14:paraId="2AE28A84" w14:textId="1745D76A" w:rsidR="00142DDD" w:rsidRDefault="00142DDD" w:rsidP="00CB40B5">
      <w:pPr>
        <w:pStyle w:val="Heading3"/>
      </w:pPr>
      <w:bookmarkStart w:id="51" w:name="_Toc243923436"/>
      <w:r>
        <w:t xml:space="preserve">Chapter 2 </w:t>
      </w:r>
      <w:r w:rsidRPr="00B9127B">
        <w:t>(Selected References from Source Documents)</w:t>
      </w:r>
      <w:bookmarkEnd w:id="51"/>
    </w:p>
    <w:p w14:paraId="4FE8B2A2" w14:textId="77777777" w:rsidR="00142DDD" w:rsidRPr="00B9127B" w:rsidRDefault="00142DDD" w:rsidP="00142DDD"/>
    <w:p w14:paraId="2D19D209" w14:textId="77777777" w:rsidR="00142DDD" w:rsidRPr="00B9127B" w:rsidRDefault="00142DDD" w:rsidP="00142DDD">
      <w:pPr>
        <w:pStyle w:val="BodyCopy"/>
        <w:ind w:left="720" w:hanging="720"/>
      </w:pPr>
      <w:r w:rsidRPr="00B9127B">
        <w:t xml:space="preserve">Abney, A., Denison, V., Tanguay, C., &amp; Ganz, M. (2022). Understanding the unseen: Invisible disabilities in the workplace. </w:t>
      </w:r>
      <w:r w:rsidRPr="00B9127B">
        <w:rPr>
          <w:i/>
          <w:iCs/>
        </w:rPr>
        <w:t>The American Archivist, 85</w:t>
      </w:r>
      <w:r w:rsidRPr="00B9127B">
        <w:t>(1), 88–103.</w:t>
      </w:r>
    </w:p>
    <w:p w14:paraId="529B6D4C" w14:textId="77777777" w:rsidR="00142DDD" w:rsidRDefault="00142DDD" w:rsidP="00142DDD">
      <w:pPr>
        <w:pStyle w:val="BodyCopy"/>
        <w:ind w:left="720" w:hanging="720"/>
      </w:pPr>
      <w:r w:rsidRPr="00B9127B">
        <w:t xml:space="preserve">Accessibility for Ontarians with Disabilities Act, S.O. 2005, c. 11. (2005). </w:t>
      </w:r>
      <w:r w:rsidRPr="00B9127B">
        <w:rPr>
          <w:i/>
          <w:iCs/>
        </w:rPr>
        <w:t>Ontario, Canada.</w:t>
      </w:r>
      <w:r w:rsidRPr="00B9127B">
        <w:t xml:space="preserve"> (Legislation requiring accessibility standards and training in Ontario workplaces).</w:t>
      </w:r>
    </w:p>
    <w:p w14:paraId="2FBCE822" w14:textId="77777777" w:rsidR="00142DDD" w:rsidRPr="00B9127B" w:rsidRDefault="00142DDD" w:rsidP="00142DDD">
      <w:pPr>
        <w:pStyle w:val="BodyCopy"/>
        <w:ind w:left="720" w:hanging="720"/>
      </w:pPr>
      <w:r w:rsidRPr="00343B26">
        <w:t>Accessibility Standards Canada. (2024). Building an inclusive Canada: Annual report 2023–2024 (Catalogue No. AS4-40/1-2024E-PDF). Government of Canada. https://publications.gc.ca/collections/collection_2025/nac-asc/AS4-40-1-2024-eng.pdf</w:t>
      </w:r>
    </w:p>
    <w:p w14:paraId="7D222CED" w14:textId="77777777" w:rsidR="00142DDD" w:rsidRPr="00B9127B" w:rsidRDefault="00142DDD" w:rsidP="00142DDD">
      <w:pPr>
        <w:pStyle w:val="BodyCopy"/>
        <w:ind w:left="720" w:hanging="720"/>
      </w:pPr>
      <w:r w:rsidRPr="00B9127B">
        <w:t xml:space="preserve">Blackett, A. (2023). </w:t>
      </w:r>
      <w:r w:rsidRPr="00B9127B">
        <w:rPr>
          <w:i/>
          <w:iCs/>
        </w:rPr>
        <w:t>A transformative framework to achieve and sustain employment equity: Report of the Employment Equity Act Review Task Force.</w:t>
      </w:r>
      <w:r w:rsidRPr="00B9127B">
        <w:t xml:space="preserve"> Employment and Social Development Canada. </w:t>
      </w:r>
    </w:p>
    <w:p w14:paraId="2322725E" w14:textId="58D6667D" w:rsidR="00142DDD" w:rsidRPr="00B9127B" w:rsidRDefault="00142DDD" w:rsidP="00142DDD">
      <w:pPr>
        <w:pStyle w:val="BodyCopy"/>
        <w:ind w:left="720" w:hanging="720"/>
      </w:pPr>
      <w:r w:rsidRPr="00B9127B">
        <w:t>Bruyère, S. M., Erickson, W. A.</w:t>
      </w:r>
      <w:r w:rsidR="00300F0C">
        <w:t>,</w:t>
      </w:r>
      <w:r w:rsidRPr="00B9127B">
        <w:t xml:space="preserve"> &amp; VanLooy, S. (2000). HR’s role in managing disability in the workplace. </w:t>
      </w:r>
      <w:r w:rsidRPr="00B9127B">
        <w:rPr>
          <w:i/>
          <w:iCs/>
        </w:rPr>
        <w:t>Employment Relations Today, 27</w:t>
      </w:r>
      <w:r w:rsidRPr="00B9127B">
        <w:t>(3), 47–66.</w:t>
      </w:r>
    </w:p>
    <w:p w14:paraId="7B8A33C5" w14:textId="644E22F1" w:rsidR="00142DDD" w:rsidRPr="00B9127B" w:rsidRDefault="00142DDD" w:rsidP="00142DDD">
      <w:pPr>
        <w:pStyle w:val="BodyCopy"/>
        <w:ind w:left="720" w:hanging="720"/>
      </w:pPr>
      <w:r w:rsidRPr="00B9127B">
        <w:t xml:space="preserve">Bruyère, S. M., Erickson, W. A., &amp; VanLooy, S. A. (2006). The impact of business size on employer ADA response. </w:t>
      </w:r>
      <w:r w:rsidRPr="00B9127B">
        <w:rPr>
          <w:i/>
          <w:iCs/>
        </w:rPr>
        <w:t>Rehabilitation Counseling Bulletin, 49</w:t>
      </w:r>
      <w:r w:rsidRPr="00B9127B">
        <w:t>(4), 194–206.</w:t>
      </w:r>
      <w:r w:rsidR="007E3BCC">
        <w:t xml:space="preserve"> </w:t>
      </w:r>
      <w:r w:rsidR="007E3BCC" w:rsidRPr="007E3BCC">
        <w:t>https://psycnet.apa.org/doi/10.1177/00343552060490040101</w:t>
      </w:r>
    </w:p>
    <w:p w14:paraId="7FF11289" w14:textId="77777777" w:rsidR="00142DDD" w:rsidRPr="00B9127B" w:rsidRDefault="00142DDD" w:rsidP="00142DDD">
      <w:pPr>
        <w:pStyle w:val="BodyCopy"/>
        <w:ind w:left="720" w:hanging="720"/>
      </w:pPr>
      <w:r w:rsidRPr="00B9127B">
        <w:lastRenderedPageBreak/>
        <w:t xml:space="preserve">Business + Higher Education Roundtable (BHER). (2026). </w:t>
      </w:r>
      <w:r w:rsidRPr="00B9127B">
        <w:rPr>
          <w:i/>
          <w:iCs/>
        </w:rPr>
        <w:t>Accessibility competence in the workplace: Good practices, environmental scan, literature review, and legislation review of Canada and the USA.</w:t>
      </w:r>
      <w:r w:rsidRPr="00B9127B">
        <w:t xml:space="preserve"> </w:t>
      </w:r>
    </w:p>
    <w:p w14:paraId="5E610947" w14:textId="77777777" w:rsidR="00142DDD" w:rsidRDefault="00142DDD" w:rsidP="00142DDD">
      <w:pPr>
        <w:pStyle w:val="BodyCopy"/>
        <w:ind w:left="720" w:hanging="720"/>
      </w:pPr>
      <w:r w:rsidRPr="00B9127B">
        <w:t xml:space="preserve">Centers for Disease Control and Prevention. (2022). </w:t>
      </w:r>
      <w:r w:rsidRPr="00B9127B">
        <w:rPr>
          <w:i/>
          <w:iCs/>
        </w:rPr>
        <w:t>Disability impacts all of us (Infographic).</w:t>
      </w:r>
      <w:r w:rsidRPr="00B9127B">
        <w:t xml:space="preserve"> U.S. Department of Health and Human Services.</w:t>
      </w:r>
    </w:p>
    <w:p w14:paraId="4BADDE35" w14:textId="77777777" w:rsidR="00142DDD" w:rsidRPr="00B9127B" w:rsidRDefault="00142DDD" w:rsidP="00142DDD">
      <w:pPr>
        <w:pStyle w:val="BodyCopy"/>
        <w:ind w:left="720" w:hanging="720"/>
      </w:pPr>
      <w:r w:rsidRPr="00D44D7F">
        <w:t xml:space="preserve">Charlton, J. I. (1998). </w:t>
      </w:r>
      <w:r w:rsidRPr="00D44D7F">
        <w:rPr>
          <w:i/>
          <w:iCs/>
        </w:rPr>
        <w:t>Nothing about us without us: Disability oppression and empowerment</w:t>
      </w:r>
      <w:r w:rsidRPr="00D44D7F">
        <w:t>. University of California Press.</w:t>
      </w:r>
    </w:p>
    <w:p w14:paraId="683262EE" w14:textId="4911A58B" w:rsidR="00142DDD" w:rsidRPr="00B9127B" w:rsidRDefault="00142DDD" w:rsidP="00142DDD">
      <w:pPr>
        <w:pStyle w:val="BodyCopy"/>
        <w:ind w:left="720" w:hanging="720"/>
      </w:pPr>
      <w:r w:rsidRPr="00B9127B">
        <w:t xml:space="preserve">Chavez, C. I., &amp; Weisinger, J. Y. (2008). Beyond diversity training: A social infusion for cultural inclusion. </w:t>
      </w:r>
      <w:r w:rsidRPr="00B9127B">
        <w:rPr>
          <w:i/>
          <w:iCs/>
        </w:rPr>
        <w:t>Human Resource Management, 47</w:t>
      </w:r>
      <w:r w:rsidRPr="00B9127B">
        <w:t>(2), 331–350.</w:t>
      </w:r>
      <w:r w:rsidR="00FE1FB5" w:rsidRPr="00FE1FB5">
        <w:t xml:space="preserve"> https://psycnet.apa.org/doi/10.1002/hrm.20215</w:t>
      </w:r>
    </w:p>
    <w:p w14:paraId="700A2FD5" w14:textId="42169E8B" w:rsidR="00142DDD" w:rsidRPr="00B9127B" w:rsidRDefault="00142DDD" w:rsidP="00142DDD">
      <w:pPr>
        <w:pStyle w:val="BodyCopy"/>
        <w:ind w:left="720" w:hanging="720"/>
      </w:pPr>
      <w:r w:rsidRPr="00B9127B">
        <w:t xml:space="preserve">Dragicevic, N., &amp; Thirgood, J. (2023). </w:t>
      </w:r>
      <w:r w:rsidRPr="00B9127B">
        <w:rPr>
          <w:i/>
          <w:iCs/>
        </w:rPr>
        <w:t>A path forward: Advancing disability inclusion in Canada.</w:t>
      </w:r>
      <w:r w:rsidRPr="00B9127B">
        <w:t xml:space="preserve"> Canadian Standards Association. </w:t>
      </w:r>
    </w:p>
    <w:p w14:paraId="5F12B76E" w14:textId="0DCED02C" w:rsidR="00731684" w:rsidRDefault="00731684" w:rsidP="00142DDD">
      <w:pPr>
        <w:pStyle w:val="BodyCopy"/>
        <w:ind w:left="720" w:hanging="720"/>
      </w:pPr>
      <w:r w:rsidRPr="00731684">
        <w:t>Findler, L., Vilchinsky, N., &amp; Werner, S. (2007). The multidimensional Attitudes Scale toward persons with disabilities (MAS): Construction and validation. </w:t>
      </w:r>
      <w:r w:rsidRPr="00731684">
        <w:rPr>
          <w:i/>
          <w:iCs/>
        </w:rPr>
        <w:t>Rehabilitation Counseling Bulletin, 50</w:t>
      </w:r>
      <w:r w:rsidRPr="00731684">
        <w:t xml:space="preserve">(3), 166–176. </w:t>
      </w:r>
      <w:r w:rsidR="003D03B6" w:rsidRPr="003D03B6">
        <w:t>https://psycnet.apa.org/doi/10.1177/00343552070500030401</w:t>
      </w:r>
    </w:p>
    <w:p w14:paraId="2EF4FABF" w14:textId="79E49A0D" w:rsidR="00142DDD" w:rsidRPr="00B9127B" w:rsidRDefault="00142DDD" w:rsidP="00142DDD">
      <w:pPr>
        <w:pStyle w:val="BodyCopy"/>
        <w:ind w:left="720" w:hanging="720"/>
      </w:pPr>
      <w:r w:rsidRPr="00B9127B">
        <w:t xml:space="preserve">Harris, S. P., Gould, R., Ojok, P., Fujiura, G., Jones, R., &amp; Olmstead, A. (2014). Scoping review of the Americans with Disabilities Act: What research exists, and where do we go from here? </w:t>
      </w:r>
      <w:r w:rsidRPr="00B9127B">
        <w:rPr>
          <w:i/>
          <w:iCs/>
        </w:rPr>
        <w:t>Disability Studies Quarterly, 34</w:t>
      </w:r>
      <w:r w:rsidRPr="00B9127B">
        <w:t>(3).</w:t>
      </w:r>
      <w:r w:rsidR="00A37E05">
        <w:t xml:space="preserve"> </w:t>
      </w:r>
      <w:r w:rsidR="00A37E05" w:rsidRPr="00A37E05">
        <w:t>https://doi.org/10.18061/dsq.v34i3.3883</w:t>
      </w:r>
    </w:p>
    <w:p w14:paraId="07444A8E" w14:textId="77777777" w:rsidR="00142DDD" w:rsidRPr="00B9127B" w:rsidRDefault="00142DDD" w:rsidP="00142DDD">
      <w:pPr>
        <w:pStyle w:val="BodyCopy"/>
        <w:ind w:left="720" w:hanging="720"/>
      </w:pPr>
      <w:r w:rsidRPr="00B9127B">
        <w:t xml:space="preserve">International Organization for Standardization (ISO). (2021). </w:t>
      </w:r>
      <w:r w:rsidRPr="00B9127B">
        <w:rPr>
          <w:i/>
          <w:iCs/>
        </w:rPr>
        <w:t>Human resource management – Diversity and inclusion (ISO Standard No. 30415:2021).</w:t>
      </w:r>
      <w:r w:rsidRPr="00B9127B">
        <w:t xml:space="preserve"> Geneva, Switzerland: ISO. (Global standard emphasizing the need for inclusive organizational practices and shared responsibility for D&amp;I).</w:t>
      </w:r>
    </w:p>
    <w:p w14:paraId="61ECE2E8" w14:textId="77777777" w:rsidR="00142DDD" w:rsidRPr="00B9127B" w:rsidRDefault="00142DDD" w:rsidP="00142DDD">
      <w:pPr>
        <w:pStyle w:val="BodyCopy"/>
        <w:ind w:left="720" w:hanging="720"/>
      </w:pPr>
      <w:r w:rsidRPr="00B9127B">
        <w:lastRenderedPageBreak/>
        <w:t xml:space="preserve">Kennedy, J., &amp; Olney, M. (2001). Job discrimination in the post-ADA era: Estimates from the 1994 and 1995 National Health Interview Surveys. </w:t>
      </w:r>
      <w:r w:rsidRPr="00B9127B">
        <w:rPr>
          <w:i/>
          <w:iCs/>
        </w:rPr>
        <w:t>Rehabilitation Counseling Bulletin, 45</w:t>
      </w:r>
      <w:r w:rsidRPr="00B9127B">
        <w:t>(1), 24–30.</w:t>
      </w:r>
    </w:p>
    <w:p w14:paraId="57C9B665" w14:textId="03378601" w:rsidR="00142DDD" w:rsidRPr="00B9127B" w:rsidRDefault="00142DDD" w:rsidP="00142DDD">
      <w:pPr>
        <w:pStyle w:val="BodyCopy"/>
        <w:ind w:left="720" w:hanging="720"/>
      </w:pPr>
      <w:r w:rsidRPr="00B9127B">
        <w:t xml:space="preserve">Konrad, A. M., Moore, M. E., Ng, E. S., Doherty, A. J., &amp; Breward, K. (2013). Temporary work, underemployment and workplace accommodations: Relationship to well-being for workers with disabilities. </w:t>
      </w:r>
      <w:r w:rsidRPr="00B9127B">
        <w:rPr>
          <w:i/>
          <w:iCs/>
        </w:rPr>
        <w:t>British Journal of Management, 24</w:t>
      </w:r>
      <w:r w:rsidRPr="00B9127B">
        <w:t>(3), 367–382.</w:t>
      </w:r>
      <w:r w:rsidR="00371B78">
        <w:t xml:space="preserve"> </w:t>
      </w:r>
      <w:r w:rsidR="00371B78" w:rsidRPr="00371B78">
        <w:t>https://doi.org/10.1111/j.1467-8551.2011.00809.x</w:t>
      </w:r>
    </w:p>
    <w:p w14:paraId="706731E8" w14:textId="1D3F02EA" w:rsidR="00142DDD" w:rsidRPr="00B9127B" w:rsidRDefault="00142DDD" w:rsidP="00142DDD">
      <w:pPr>
        <w:pStyle w:val="BodyCopy"/>
        <w:ind w:left="720" w:hanging="720"/>
      </w:pPr>
      <w:r w:rsidRPr="00B9127B">
        <w:t xml:space="preserve">Kovacs Burns, K., &amp; Gordon, G. L. (2010). Analyzing the impact of disability legislation in Canada and the United States. </w:t>
      </w:r>
      <w:r w:rsidRPr="00B9127B">
        <w:rPr>
          <w:i/>
          <w:iCs/>
        </w:rPr>
        <w:t>Journal of Disability Policy Studies, 20</w:t>
      </w:r>
      <w:r w:rsidRPr="00B9127B">
        <w:t>(4), 205–218.</w:t>
      </w:r>
      <w:r w:rsidR="00EB284B">
        <w:t xml:space="preserve"> </w:t>
      </w:r>
      <w:r w:rsidR="00EB284B" w:rsidRPr="00EB284B">
        <w:t>https://doi.org/10.1177/1044207309344562</w:t>
      </w:r>
    </w:p>
    <w:p w14:paraId="41F27CBB" w14:textId="2ED6EE4E" w:rsidR="00142DDD" w:rsidRPr="00B9127B" w:rsidRDefault="00142DDD" w:rsidP="00142DDD">
      <w:pPr>
        <w:pStyle w:val="BodyCopy"/>
        <w:ind w:left="720" w:hanging="720"/>
      </w:pPr>
      <w:r w:rsidRPr="00B9127B">
        <w:t xml:space="preserve">Lindsay, S., Cagliostro, E., Leck, J., Shen, W., &amp; Stinson, J. (2019). Disability disclosure and workplace accommodations among youth with disabilities. </w:t>
      </w:r>
      <w:r w:rsidRPr="00B9127B">
        <w:rPr>
          <w:i/>
          <w:iCs/>
        </w:rPr>
        <w:t>Equality, Diversity and Inclusion, 38</w:t>
      </w:r>
      <w:r w:rsidRPr="00B9127B">
        <w:t xml:space="preserve">(7), 677–692. </w:t>
      </w:r>
      <w:r w:rsidR="00682CD8" w:rsidRPr="00682CD8">
        <w:t>https://doi.org/10.1080/09638288.2018.1451926</w:t>
      </w:r>
    </w:p>
    <w:p w14:paraId="0EA7D7B2" w14:textId="44F41146" w:rsidR="00142DDD" w:rsidRPr="00B9127B" w:rsidRDefault="00142DDD" w:rsidP="00142DDD">
      <w:pPr>
        <w:pStyle w:val="BodyCopy"/>
        <w:ind w:left="720" w:hanging="720"/>
      </w:pPr>
      <w:r w:rsidRPr="00B9127B">
        <w:t xml:space="preserve">Lindsay, S., Rezai, M., Shen, W., &amp; Lyons, B. (2020). A disability disclosure simulation as an educational tool. </w:t>
      </w:r>
      <w:r w:rsidRPr="00B9127B">
        <w:rPr>
          <w:i/>
          <w:iCs/>
        </w:rPr>
        <w:t>Equality, Diversity and Inclusion, 39</w:t>
      </w:r>
      <w:r w:rsidRPr="00B9127B">
        <w:t>(8), 865–879.</w:t>
      </w:r>
      <w:r w:rsidR="00FD1970">
        <w:t xml:space="preserve"> </w:t>
      </w:r>
      <w:r w:rsidR="00FD1970" w:rsidRPr="00FD1970">
        <w:t>https://doi.org/10.1108/EDI-12-2019-0292</w:t>
      </w:r>
    </w:p>
    <w:p w14:paraId="580A7F42" w14:textId="36943058" w:rsidR="00142DDD" w:rsidRPr="00B9127B" w:rsidRDefault="00142DDD" w:rsidP="00142DDD">
      <w:pPr>
        <w:pStyle w:val="BodyCopy"/>
        <w:ind w:left="720" w:hanging="720"/>
      </w:pPr>
      <w:r w:rsidRPr="00B9127B">
        <w:t xml:space="preserve">McGuire, C., Kristman, V. L., Shaw, W. S., Loisel, P., Reguly, P., Williams-Whitt, K., &amp; Soklaridis, S. (2017). Supervisors’ perceptions of organizational policies are associated with their likelihood to accommodate back-injured workers. </w:t>
      </w:r>
      <w:r w:rsidRPr="00B9127B">
        <w:rPr>
          <w:i/>
          <w:iCs/>
        </w:rPr>
        <w:t>Disability and Rehabilitation, 39</w:t>
      </w:r>
      <w:r w:rsidRPr="00B9127B">
        <w:t>(4), 346–353.</w:t>
      </w:r>
      <w:r w:rsidR="00804962">
        <w:t xml:space="preserve"> </w:t>
      </w:r>
      <w:r w:rsidR="00804962" w:rsidRPr="00804962">
        <w:t>https://doi.org/10.3109/09638288.2016.1141245</w:t>
      </w:r>
    </w:p>
    <w:p w14:paraId="25C0FEA4" w14:textId="6CF77FC1" w:rsidR="00142DDD" w:rsidRPr="00B9127B" w:rsidRDefault="00142DDD" w:rsidP="00142DDD">
      <w:pPr>
        <w:pStyle w:val="BodyCopy"/>
        <w:ind w:left="720" w:hanging="720"/>
      </w:pPr>
      <w:r w:rsidRPr="00B9127B">
        <w:t xml:space="preserve">Mullin, A. E., Coe, I. R., Gooden, E. A., Tunde-Byass, M., &amp; Wiley, R. E. (2021). Inclusion, diversity, equity, and accessibility: From organizational responsibility to leadership competency. </w:t>
      </w:r>
      <w:r w:rsidRPr="00B9127B">
        <w:rPr>
          <w:i/>
          <w:iCs/>
        </w:rPr>
        <w:t>Healthcare Management Forum, 34</w:t>
      </w:r>
      <w:r w:rsidRPr="00B9127B">
        <w:t>(6), 311–315.</w:t>
      </w:r>
      <w:r w:rsidR="005D4391">
        <w:t xml:space="preserve"> </w:t>
      </w:r>
      <w:r w:rsidR="005D4391" w:rsidRPr="005D4391">
        <w:t>https://doi.org/10.1177/08404704211038232</w:t>
      </w:r>
    </w:p>
    <w:p w14:paraId="77F5901F" w14:textId="77777777" w:rsidR="00142DDD" w:rsidRPr="00B9127B" w:rsidRDefault="00142DDD" w:rsidP="00142DDD">
      <w:pPr>
        <w:pStyle w:val="BodyCopy"/>
        <w:ind w:left="720" w:hanging="720"/>
      </w:pPr>
      <w:r w:rsidRPr="00B9127B">
        <w:lastRenderedPageBreak/>
        <w:t xml:space="preserve">Onley, D. C. (2019). </w:t>
      </w:r>
      <w:r w:rsidRPr="00B9127B">
        <w:rPr>
          <w:i/>
          <w:iCs/>
        </w:rPr>
        <w:t>Listening to Ontarians with disabilities: Report of the Third Review of the Accessibility for Ontarians with Disabilities Act, 2005.</w:t>
      </w:r>
      <w:r w:rsidRPr="00B9127B">
        <w:t xml:space="preserve"> Government of Ontario.</w:t>
      </w:r>
    </w:p>
    <w:p w14:paraId="22A6FE75" w14:textId="5EC3FC4A" w:rsidR="00142DDD" w:rsidRPr="00B9127B" w:rsidRDefault="00142DDD" w:rsidP="00142DDD">
      <w:pPr>
        <w:pStyle w:val="BodyCopy"/>
        <w:ind w:left="720" w:hanging="720"/>
      </w:pPr>
      <w:r w:rsidRPr="00B9127B">
        <w:t xml:space="preserve">Phillips, B. N., Deiches, J., Morrison, B., Chan, F., &amp; Bezyak, J. L. (2016). Disability diversity training in the workplace: Systematic review and future directions. </w:t>
      </w:r>
      <w:r w:rsidRPr="00B9127B">
        <w:rPr>
          <w:i/>
          <w:iCs/>
        </w:rPr>
        <w:t>Journal of Occupational Rehabilitation, 26</w:t>
      </w:r>
      <w:r w:rsidRPr="00B9127B">
        <w:t>(3), 264–275.</w:t>
      </w:r>
      <w:r w:rsidR="00FB61DD" w:rsidRPr="00FB61DD">
        <w:t xml:space="preserve"> https://doi.org/10.1007/s10926-015-9612-3</w:t>
      </w:r>
    </w:p>
    <w:p w14:paraId="4A4C66CD" w14:textId="77777777" w:rsidR="00072761" w:rsidRDefault="00072761" w:rsidP="00142DDD">
      <w:pPr>
        <w:pStyle w:val="BodyCopy"/>
        <w:ind w:left="720" w:hanging="720"/>
      </w:pPr>
      <w:r w:rsidRPr="00072761">
        <w:t>Rioux, M. &amp; Patton, L. (2014). Chapter 6. Employment Equity and Disability: Moving Forward to Achieve Employment Integration and Fulfil Promises of Inclusion and Participation. In </w:t>
      </w:r>
      <w:r w:rsidRPr="00072761">
        <w:rPr>
          <w:i/>
          <w:iCs/>
        </w:rPr>
        <w:t>Employment Equity in Canada: The Legacy of the Abella Report</w:t>
      </w:r>
      <w:r w:rsidRPr="00072761">
        <w:t> (pp. 133-155). Toronto: University of Toronto Press. </w:t>
      </w:r>
      <w:hyperlink r:id="rId22" w:history="1">
        <w:r w:rsidRPr="00072761">
          <w:rPr>
            <w:rStyle w:val="Hyperlink"/>
          </w:rPr>
          <w:t>https://doi.org/10.3138/9781442668515-009</w:t>
        </w:r>
      </w:hyperlink>
    </w:p>
    <w:p w14:paraId="75F1A50E" w14:textId="14A99F2E" w:rsidR="00142DDD" w:rsidRPr="00B9127B" w:rsidRDefault="00142DDD" w:rsidP="00142DDD">
      <w:pPr>
        <w:pStyle w:val="BodyCopy"/>
        <w:ind w:left="720" w:hanging="720"/>
      </w:pPr>
      <w:r w:rsidRPr="00B9127B">
        <w:t xml:space="preserve">Stein, M. A. (2014). The employment equity mandate of the United Nations Convention on the Rights of Persons with Disabilities: Some preliminary observations for Canada. In C. Agocs (Ed.), </w:t>
      </w:r>
      <w:r w:rsidRPr="00B9127B">
        <w:rPr>
          <w:i/>
          <w:iCs/>
        </w:rPr>
        <w:t>Employment equity in Canada: The legacy of the Abella report</w:t>
      </w:r>
      <w:r w:rsidRPr="00B9127B">
        <w:t xml:space="preserve"> (pp. 242–258). Toronto: University of Toronto Press.</w:t>
      </w:r>
    </w:p>
    <w:p w14:paraId="5256014C" w14:textId="77777777" w:rsidR="00142DDD" w:rsidRPr="00B9127B" w:rsidRDefault="00142DDD" w:rsidP="00142DDD">
      <w:pPr>
        <w:pStyle w:val="BodyCopy"/>
        <w:ind w:left="720" w:hanging="720"/>
      </w:pPr>
      <w:r w:rsidRPr="00B9127B">
        <w:t xml:space="preserve">Tompa, E., Buettgen, A., Mahood, Q., Padkapayeva, K., Posen, A., &amp; Yazdani, A. (2015). </w:t>
      </w:r>
      <w:r w:rsidRPr="00B9127B">
        <w:rPr>
          <w:i/>
          <w:iCs/>
        </w:rPr>
        <w:t>Evidence synthesis of workplace accommodation policies and practices for persons with visible disabilities: Final report.</w:t>
      </w:r>
      <w:r w:rsidRPr="00B9127B">
        <w:t xml:space="preserve"> Toronto: Institute for Work &amp; Health.</w:t>
      </w:r>
    </w:p>
    <w:p w14:paraId="487C9A26" w14:textId="6882FD77" w:rsidR="00142DDD" w:rsidRPr="00B9127B" w:rsidRDefault="00142DDD" w:rsidP="00142DDD">
      <w:pPr>
        <w:pStyle w:val="BodyCopy"/>
        <w:ind w:left="720" w:hanging="720"/>
        <w:sectPr w:rsidR="00142DDD" w:rsidRPr="00B9127B" w:rsidSect="00142DDD">
          <w:pgSz w:w="12240" w:h="15840"/>
          <w:pgMar w:top="1728" w:right="1440" w:bottom="1080" w:left="1440" w:header="709" w:footer="317" w:gutter="0"/>
          <w:cols w:space="708"/>
          <w:docGrid w:linePitch="360"/>
        </w:sectPr>
      </w:pPr>
      <w:r w:rsidRPr="00B9127B">
        <w:t>Williams-Whitt, K., Kristman, V. L., Shaw, W. S., Soklaridis, S.,</w:t>
      </w:r>
      <w:r w:rsidR="00D430E8">
        <w:t xml:space="preserve"> &amp; </w:t>
      </w:r>
      <w:r w:rsidR="00D430E8" w:rsidRPr="00D430E8">
        <w:t>Reguly P</w:t>
      </w:r>
      <w:r w:rsidRPr="00B9127B">
        <w:t xml:space="preserve">. (2016). A model of supervisor decision-making in the accommodation of workers with low back pain. </w:t>
      </w:r>
      <w:r w:rsidRPr="00B9127B">
        <w:rPr>
          <w:i/>
          <w:iCs/>
        </w:rPr>
        <w:t>Journal of Occupational Rehabilitation, 26</w:t>
      </w:r>
      <w:r w:rsidRPr="00B9127B">
        <w:t>(3), 366–381</w:t>
      </w:r>
      <w:r w:rsidR="00931524">
        <w:t xml:space="preserve"> </w:t>
      </w:r>
      <w:r w:rsidR="00931524" w:rsidRPr="00931524">
        <w:t>https://doi.org/10.1007/s10926-015-9623-0</w:t>
      </w:r>
    </w:p>
    <w:p w14:paraId="06BB6839" w14:textId="33F35D3F" w:rsidR="00142DDD" w:rsidRPr="00556FAB" w:rsidRDefault="00142DDD" w:rsidP="00CB40B5">
      <w:pPr>
        <w:pStyle w:val="Heading3"/>
      </w:pPr>
      <w:bookmarkStart w:id="52" w:name="_Toc243923437"/>
      <w:r>
        <w:lastRenderedPageBreak/>
        <w:t>Chapter 3</w:t>
      </w:r>
      <w:bookmarkEnd w:id="52"/>
    </w:p>
    <w:p w14:paraId="5E9A189D" w14:textId="77777777" w:rsidR="00142DDD" w:rsidRPr="00556FAB" w:rsidRDefault="00142DDD" w:rsidP="003D55BE">
      <w:pPr>
        <w:pStyle w:val="BodyCopy"/>
        <w:ind w:left="720" w:hanging="720"/>
      </w:pPr>
      <w:r w:rsidRPr="00556FAB">
        <w:t xml:space="preserve">Atherley, A., Bennett, N., Budhoo, H., Khan, M., &amp; Mandool, J. (2023). </w:t>
      </w:r>
      <w:r w:rsidRPr="00556FAB">
        <w:rPr>
          <w:i/>
          <w:iCs/>
        </w:rPr>
        <w:t>Inclusion, Diversity, Equity, and Accessibility (IDEA) Audit Report.</w:t>
      </w:r>
      <w:r w:rsidRPr="00556FAB">
        <w:t xml:space="preserve"> Unpublished capstone project report, Ontario Tech University Faculty of Business and IT.</w:t>
      </w:r>
    </w:p>
    <w:p w14:paraId="58AF2AEE" w14:textId="77777777" w:rsidR="00142DDD" w:rsidRPr="00556FAB" w:rsidRDefault="00142DDD" w:rsidP="003D55BE">
      <w:pPr>
        <w:pStyle w:val="BodyCopy"/>
        <w:ind w:left="720" w:hanging="720"/>
      </w:pPr>
      <w:r w:rsidRPr="00556FAB">
        <w:t xml:space="preserve">Bhat, L. (2024). </w:t>
      </w:r>
      <w:r w:rsidRPr="00556FAB">
        <w:rPr>
          <w:i/>
          <w:iCs/>
        </w:rPr>
        <w:t>Inclusive Environmental Design – IDEA Audit: Final Analysis and Data Appendix.</w:t>
      </w:r>
      <w:r w:rsidRPr="00556FAB">
        <w:t xml:space="preserve"> Unpublished internal analysis report, CNIB (Inclusive Design for Employment Access – Hub 4).</w:t>
      </w:r>
    </w:p>
    <w:p w14:paraId="530EDBE1" w14:textId="77777777" w:rsidR="00142DDD" w:rsidRPr="00556FAB" w:rsidRDefault="00142DDD" w:rsidP="003D55BE">
      <w:pPr>
        <w:pStyle w:val="BodyCopy"/>
        <w:ind w:left="720" w:hanging="720"/>
      </w:pPr>
      <w:r w:rsidRPr="007069B0">
        <w:rPr>
          <w:lang w:val="fr-CA"/>
        </w:rPr>
        <w:t xml:space="preserve">Choi, J., Maisel, J. L., Sukhai, M. A., &amp; Barrows, A. S. (2023). </w:t>
      </w:r>
      <w:r w:rsidRPr="00556FAB">
        <w:rPr>
          <w:i/>
          <w:iCs/>
        </w:rPr>
        <w:t>Inclusion, Diversity, Equity, and Accessibility (IDEA) Audit Methodology Report.</w:t>
      </w:r>
      <w:r w:rsidRPr="00556FAB">
        <w:t xml:space="preserve"> Unpublished internal report, Inclusive Design for Employment Access – Hub 4: Inclusive Environmental Design.</w:t>
      </w:r>
    </w:p>
    <w:p w14:paraId="7C162465" w14:textId="77777777" w:rsidR="00142DDD" w:rsidRPr="00556FAB" w:rsidRDefault="00142DDD" w:rsidP="003D55BE">
      <w:pPr>
        <w:pStyle w:val="BodyCopy"/>
        <w:ind w:left="720" w:hanging="720"/>
      </w:pPr>
      <w:r w:rsidRPr="00556FAB">
        <w:t xml:space="preserve">CNIB (Canadian National Institute for the Blind). (2023). </w:t>
      </w:r>
      <w:r w:rsidRPr="00556FAB">
        <w:rPr>
          <w:i/>
          <w:iCs/>
        </w:rPr>
        <w:t>Inclusive Design for Employment Access (IDEA) Social Innovation Laboratory (VRAIE-IDEA) Overview.</w:t>
      </w:r>
      <w:r w:rsidRPr="00556FAB">
        <w:t xml:space="preserve"> [Organizational information document].</w:t>
      </w:r>
    </w:p>
    <w:p w14:paraId="787F38D7" w14:textId="77777777" w:rsidR="00142DDD" w:rsidRDefault="00142DDD" w:rsidP="003D55BE">
      <w:pPr>
        <w:pStyle w:val="BodyCopy"/>
        <w:ind w:left="720" w:hanging="720"/>
      </w:pPr>
      <w:r w:rsidRPr="00556FAB">
        <w:t xml:space="preserve">CNIB &amp; University at Buffalo. (2023). </w:t>
      </w:r>
      <w:r w:rsidRPr="00556FAB">
        <w:rPr>
          <w:i/>
          <w:iCs/>
        </w:rPr>
        <w:t>IDEA Audit Tool Instrument.</w:t>
      </w:r>
      <w:r w:rsidRPr="00556FAB">
        <w:t xml:space="preserve"> (Internal working document).</w:t>
      </w:r>
    </w:p>
    <w:p w14:paraId="451299B5" w14:textId="77777777" w:rsidR="0091545C" w:rsidRPr="00B9127B" w:rsidRDefault="0091545C" w:rsidP="0091545C">
      <w:pPr>
        <w:pStyle w:val="BodyCopy"/>
        <w:ind w:left="720" w:hanging="720"/>
      </w:pPr>
      <w:r w:rsidRPr="00B9127B">
        <w:t xml:space="preserve">Dragicevic, N., &amp; Thirgood, J. (2023). </w:t>
      </w:r>
      <w:r w:rsidRPr="00B9127B">
        <w:rPr>
          <w:i/>
          <w:iCs/>
        </w:rPr>
        <w:t>A path forward: Advancing disability inclusion in Canada.</w:t>
      </w:r>
      <w:r w:rsidRPr="00B9127B">
        <w:t xml:space="preserve"> Canadian Standards Association. </w:t>
      </w:r>
    </w:p>
    <w:p w14:paraId="7E4258C6" w14:textId="77777777" w:rsidR="00142DDD" w:rsidRPr="00556FAB" w:rsidRDefault="00142DDD" w:rsidP="003D55BE">
      <w:pPr>
        <w:pStyle w:val="BodyCopy"/>
        <w:ind w:left="720" w:hanging="720"/>
      </w:pPr>
      <w:r w:rsidRPr="00556FAB">
        <w:t xml:space="preserve">Ontario Tech University Capstone Team 10 (2023). </w:t>
      </w:r>
      <w:r w:rsidRPr="00556FAB">
        <w:rPr>
          <w:i/>
          <w:iCs/>
        </w:rPr>
        <w:t>Website Scan of Fortune 500 Companies – Data Collection Procedures and Preliminary Findings.</w:t>
      </w:r>
      <w:r w:rsidRPr="00556FAB">
        <w:t xml:space="preserve"> (Unpublished project deliverable, IT Capstone Project XBIT 4500U).</w:t>
      </w:r>
    </w:p>
    <w:p w14:paraId="5254A51B" w14:textId="77777777" w:rsidR="00142DDD" w:rsidRDefault="00142DDD" w:rsidP="003D55BE">
      <w:pPr>
        <w:pStyle w:val="BodyCopy"/>
        <w:ind w:left="720" w:hanging="720"/>
      </w:pPr>
      <w:r w:rsidRPr="00556FAB">
        <w:t xml:space="preserve">Ontario Tech University, Faculty of Business and IT. (2023). </w:t>
      </w:r>
      <w:r w:rsidRPr="00556FAB">
        <w:rPr>
          <w:i/>
          <w:iCs/>
        </w:rPr>
        <w:t>Capstone Project Course XBIT 4500U – Team 10 Final Deliverable Report.</w:t>
      </w:r>
      <w:r w:rsidRPr="00556FAB">
        <w:t xml:space="preserve"> (Unpublished student report, December 4, 2023).</w:t>
      </w:r>
    </w:p>
    <w:p w14:paraId="7DD87044" w14:textId="2B8662CA" w:rsidR="00066CBC" w:rsidRPr="007069B0" w:rsidRDefault="00142DDD" w:rsidP="003D55BE">
      <w:pPr>
        <w:pStyle w:val="BodyCopy"/>
        <w:ind w:left="720" w:hanging="720"/>
        <w:rPr>
          <w:lang w:val="fr-CA"/>
        </w:rPr>
      </w:pPr>
      <w:r w:rsidRPr="00B80F42">
        <w:lastRenderedPageBreak/>
        <w:t xml:space="preserve">Inclusive Design for Employment Access (IDEA). (n.d.). Our work: Hubs and activity areas. </w:t>
      </w:r>
      <w:r w:rsidRPr="007069B0">
        <w:rPr>
          <w:lang w:val="fr-CA"/>
        </w:rPr>
        <w:t>VRAIE-IDEA. https://vraie-idea.ca/our-work/hubs-and-activity-areas</w:t>
      </w:r>
    </w:p>
    <w:p w14:paraId="7357E639" w14:textId="1A4D01AC" w:rsidR="00142DDD" w:rsidRPr="00135688" w:rsidRDefault="00142DDD" w:rsidP="00CB40B5">
      <w:pPr>
        <w:pStyle w:val="Heading3"/>
      </w:pPr>
      <w:bookmarkStart w:id="53" w:name="_Toc243923438"/>
      <w:r>
        <w:t>Chapter 4</w:t>
      </w:r>
      <w:bookmarkEnd w:id="53"/>
    </w:p>
    <w:p w14:paraId="4BAA6F74" w14:textId="77777777" w:rsidR="00142DDD" w:rsidRPr="00B3545C" w:rsidRDefault="00142DDD" w:rsidP="00142DDD">
      <w:pPr>
        <w:pStyle w:val="BodyCopy"/>
        <w:ind w:left="720" w:hanging="720"/>
        <w:rPr>
          <w:lang w:val="fr-CA"/>
        </w:rPr>
      </w:pPr>
      <w:r w:rsidRPr="00D44D7F">
        <w:t xml:space="preserve">Arnstein, S. R. (1969). A ladder of citizen participation. </w:t>
      </w:r>
      <w:r w:rsidRPr="00D44D7F">
        <w:rPr>
          <w:i/>
          <w:iCs/>
        </w:rPr>
        <w:t>Journal of the American Institute of Planners, 35</w:t>
      </w:r>
      <w:r w:rsidRPr="00D44D7F">
        <w:t xml:space="preserve">(4), 216–224. </w:t>
      </w:r>
      <w:hyperlink r:id="rId23" w:tgtFrame="_new" w:history="1">
        <w:r w:rsidRPr="00B3545C">
          <w:rPr>
            <w:rStyle w:val="Hyperlink"/>
            <w:lang w:val="fr-CA"/>
          </w:rPr>
          <w:t>https://doi.org/10.1080/01944366908977225</w:t>
        </w:r>
      </w:hyperlink>
    </w:p>
    <w:p w14:paraId="64829DD0" w14:textId="77777777" w:rsidR="00142DDD" w:rsidRPr="00D44D7F" w:rsidRDefault="00142DDD" w:rsidP="00142DDD">
      <w:pPr>
        <w:pStyle w:val="BodyCopy"/>
        <w:ind w:left="720" w:hanging="720"/>
      </w:pPr>
      <w:r w:rsidRPr="00743059">
        <w:rPr>
          <w:lang w:val="fr-FR"/>
        </w:rPr>
        <w:t xml:space="preserve">Barrows, A. S., Sukhai, M. A., &amp; Coe, I. R. (2021). </w:t>
      </w:r>
      <w:r w:rsidRPr="00D44D7F">
        <w:t xml:space="preserve">So, you want to host an inclusive and accessible conference? </w:t>
      </w:r>
      <w:r w:rsidRPr="00D44D7F">
        <w:rPr>
          <w:i/>
          <w:iCs/>
        </w:rPr>
        <w:t>FACETS, 6</w:t>
      </w:r>
      <w:r w:rsidRPr="00D44D7F">
        <w:t xml:space="preserve">(1), 131–138. </w:t>
      </w:r>
      <w:hyperlink r:id="rId24" w:tgtFrame="_new" w:history="1">
        <w:r w:rsidRPr="00D44D7F">
          <w:rPr>
            <w:rStyle w:val="Hyperlink"/>
          </w:rPr>
          <w:t>https://doi.org/10.1139/facets-2020-0017</w:t>
        </w:r>
      </w:hyperlink>
    </w:p>
    <w:p w14:paraId="01ED2B41" w14:textId="77777777" w:rsidR="00142DDD" w:rsidRPr="00D44D7F" w:rsidRDefault="00142DDD" w:rsidP="00142DDD">
      <w:pPr>
        <w:pStyle w:val="BodyCopy"/>
        <w:ind w:left="720" w:hanging="720"/>
      </w:pPr>
      <w:r w:rsidRPr="00D44D7F">
        <w:t xml:space="preserve">Canadian National Institute for the Blind (CNIB). (2023a). </w:t>
      </w:r>
      <w:r w:rsidRPr="00D44D7F">
        <w:rPr>
          <w:i/>
          <w:iCs/>
        </w:rPr>
        <w:t>Building an evidence-based universal design framework for workplace inclusion</w:t>
      </w:r>
      <w:r w:rsidRPr="00D44D7F">
        <w:t xml:space="preserve">. </w:t>
      </w:r>
      <w:hyperlink r:id="rId25" w:anchor="Building%20an%20Evidence-Based%20Universal%20Design%20Framework%20for%20Employment%20Standards%20in%20Canada" w:tgtFrame="_new" w:history="1">
        <w:r w:rsidRPr="00D44D7F">
          <w:rPr>
            <w:rStyle w:val="Hyperlink"/>
          </w:rPr>
          <w:t>https://www.cnib.ca/en/completed-projects#Building%20an%20Evidence-Based%20Universal%20Design%20Framework%20for%20Employment%20Standards%20in%20Canada</w:t>
        </w:r>
      </w:hyperlink>
    </w:p>
    <w:p w14:paraId="02A1054E" w14:textId="77777777" w:rsidR="00142DDD" w:rsidRPr="00D44D7F" w:rsidRDefault="00142DDD" w:rsidP="00142DDD">
      <w:pPr>
        <w:pStyle w:val="BodyCopy"/>
        <w:ind w:left="720" w:hanging="720"/>
      </w:pPr>
      <w:r w:rsidRPr="00D44D7F">
        <w:t xml:space="preserve">Canadian National Institute for the Blind (CNIB). (2023b). </w:t>
      </w:r>
      <w:r w:rsidRPr="00D44D7F">
        <w:rPr>
          <w:i/>
          <w:iCs/>
        </w:rPr>
        <w:t>Accessible procurement and supply chain models research report</w:t>
      </w:r>
      <w:r w:rsidRPr="00D44D7F">
        <w:t xml:space="preserve">. </w:t>
      </w:r>
      <w:hyperlink r:id="rId26" w:anchor="Accessible%20and%20Inclusive%20Procurement%20and%20Supply%20Chain%20Model%20(2021-2024)" w:tgtFrame="_new" w:history="1">
        <w:r w:rsidRPr="00D44D7F">
          <w:rPr>
            <w:rStyle w:val="Hyperlink"/>
          </w:rPr>
          <w:t>https://www.cnib.ca/en/completed-projects#Accessible%20and%20Inclusive%20Procurement%20and%20Supply%20Chain%20Model%20(2021-2024)</w:t>
        </w:r>
      </w:hyperlink>
    </w:p>
    <w:p w14:paraId="765526A6" w14:textId="77777777" w:rsidR="00142DDD" w:rsidRPr="00D44D7F" w:rsidRDefault="00142DDD" w:rsidP="00142DDD">
      <w:pPr>
        <w:pStyle w:val="BodyCopy"/>
        <w:ind w:left="720" w:hanging="720"/>
      </w:pPr>
      <w:r w:rsidRPr="00D44D7F">
        <w:t xml:space="preserve">Canadian National Institute for the Blind (CNIB). (2024). </w:t>
      </w:r>
      <w:r w:rsidRPr="00D44D7F">
        <w:rPr>
          <w:i/>
          <w:iCs/>
        </w:rPr>
        <w:t>Accessible and explainable artificial intelligence in decision-making environments</w:t>
      </w:r>
      <w:r w:rsidRPr="00D44D7F">
        <w:t xml:space="preserve">. </w:t>
      </w:r>
      <w:hyperlink r:id="rId27" w:anchor="Accessible%20Explainable%20Artificial%20Intelligence%20in%20Decision%20Making%20(2022-2025)" w:tgtFrame="_new" w:history="1">
        <w:r w:rsidRPr="00D44D7F">
          <w:rPr>
            <w:rStyle w:val="Hyperlink"/>
          </w:rPr>
          <w:t>https://www.cnib.ca/en/completed-projects#Accessible%20Explainable%20Artificial%20Intelligence%20in%20Decision%20Making%20(2022-2025)</w:t>
        </w:r>
      </w:hyperlink>
    </w:p>
    <w:p w14:paraId="3BB8B0AD" w14:textId="77777777" w:rsidR="00142DDD" w:rsidRPr="00D44D7F" w:rsidRDefault="00142DDD" w:rsidP="00142DDD">
      <w:pPr>
        <w:pStyle w:val="BodyCopy"/>
        <w:ind w:left="720" w:hanging="720"/>
      </w:pPr>
      <w:r w:rsidRPr="00D44D7F">
        <w:lastRenderedPageBreak/>
        <w:t xml:space="preserve">Charlton, J. I. (1998). </w:t>
      </w:r>
      <w:r w:rsidRPr="00D44D7F">
        <w:rPr>
          <w:i/>
          <w:iCs/>
        </w:rPr>
        <w:t>Nothing about us without us: Disability oppression and empowerment</w:t>
      </w:r>
      <w:r w:rsidRPr="00D44D7F">
        <w:t>. University of California Press.</w:t>
      </w:r>
    </w:p>
    <w:p w14:paraId="375EB14B" w14:textId="77777777" w:rsidR="00142DDD" w:rsidRPr="00D44D7F" w:rsidRDefault="00142DDD" w:rsidP="00142DDD">
      <w:pPr>
        <w:pStyle w:val="BodyCopy"/>
        <w:ind w:left="720" w:hanging="720"/>
      </w:pPr>
      <w:r w:rsidRPr="00D44D7F">
        <w:t xml:space="preserve">Crenshaw, K. (1989). Demarginalizing the intersection of race and sex: A Black feminist critique of antidiscrimination doctrine, feminist theory and antiracist politics. </w:t>
      </w:r>
      <w:r w:rsidRPr="00D44D7F">
        <w:rPr>
          <w:i/>
          <w:iCs/>
        </w:rPr>
        <w:t>University of Chicago Legal Forum, 1989</w:t>
      </w:r>
      <w:r w:rsidRPr="00D44D7F">
        <w:t xml:space="preserve">(1), 139–167. </w:t>
      </w:r>
      <w:hyperlink r:id="rId28" w:tgtFrame="_new" w:history="1">
        <w:r w:rsidRPr="00D44D7F">
          <w:rPr>
            <w:rStyle w:val="Hyperlink"/>
          </w:rPr>
          <w:t>https://chicagounbound.uchicago.edu/uclf/vol1989/iss1/8</w:t>
        </w:r>
      </w:hyperlink>
    </w:p>
    <w:p w14:paraId="46C458EC" w14:textId="1721F261" w:rsidR="00142DDD" w:rsidRPr="00D44D7F" w:rsidRDefault="00142DDD" w:rsidP="00142DDD">
      <w:pPr>
        <w:pStyle w:val="BodyCopy"/>
        <w:ind w:left="720" w:hanging="720"/>
      </w:pPr>
      <w:r w:rsidRPr="00D44D7F">
        <w:t xml:space="preserve">Fricker, M. (2007). </w:t>
      </w:r>
      <w:r w:rsidRPr="00D44D7F">
        <w:rPr>
          <w:i/>
          <w:iCs/>
        </w:rPr>
        <w:t>Epistemic injustice: Power and the ethics of knowing</w:t>
      </w:r>
      <w:r w:rsidRPr="00D44D7F">
        <w:t xml:space="preserve">. Oxford University Press. </w:t>
      </w:r>
      <w:hyperlink r:id="rId29" w:history="1">
        <w:r w:rsidR="0001750C" w:rsidRPr="006E17E4">
          <w:rPr>
            <w:rStyle w:val="Hyperlink"/>
          </w:rPr>
          <w:t>https://doi.org/10.1093/acprof:oso/9780198237907.001.0001</w:t>
        </w:r>
      </w:hyperlink>
      <w:r w:rsidR="0001750C">
        <w:t xml:space="preserve"> </w:t>
      </w:r>
    </w:p>
    <w:p w14:paraId="759424EE" w14:textId="4AD1BCA2" w:rsidR="00142DDD" w:rsidRPr="00D44D7F" w:rsidRDefault="00142DDD" w:rsidP="00142DDD">
      <w:pPr>
        <w:pStyle w:val="BodyCopy"/>
        <w:ind w:left="720" w:hanging="720"/>
      </w:pPr>
      <w:r w:rsidRPr="00D44D7F">
        <w:t xml:space="preserve">Frauenberger, C., Kender, K., Scheepmaker, L., Werner, K., &amp; Spiel, K. (2020). Designing social play things. In </w:t>
      </w:r>
      <w:r w:rsidRPr="00D44D7F">
        <w:rPr>
          <w:i/>
          <w:iCs/>
        </w:rPr>
        <w:t>Proceedings of the 11th Nordic Conference on Human-Computer Interaction: Shaping experiences, shaping society</w:t>
      </w:r>
      <w:r w:rsidRPr="00D44D7F">
        <w:t xml:space="preserve"> (pp. 1–12). Association for Computing Machinery. </w:t>
      </w:r>
      <w:hyperlink r:id="rId30" w:history="1">
        <w:r w:rsidR="0001750C" w:rsidRPr="006E17E4">
          <w:rPr>
            <w:rStyle w:val="Hyperlink"/>
          </w:rPr>
          <w:t>https://doi.org/10.1145/3419249.3420121</w:t>
        </w:r>
      </w:hyperlink>
      <w:r w:rsidR="0001750C">
        <w:t xml:space="preserve"> </w:t>
      </w:r>
    </w:p>
    <w:p w14:paraId="4F59BE70" w14:textId="77777777" w:rsidR="00142DDD" w:rsidRPr="00D44D7F" w:rsidRDefault="00142DDD" w:rsidP="00142DDD">
      <w:pPr>
        <w:pStyle w:val="BodyCopy"/>
        <w:ind w:left="720" w:hanging="720"/>
      </w:pPr>
      <w:r w:rsidRPr="00D44D7F">
        <w:t xml:space="preserve">Government of Canada. (2019). </w:t>
      </w:r>
      <w:r w:rsidRPr="00D44D7F">
        <w:rPr>
          <w:i/>
          <w:iCs/>
        </w:rPr>
        <w:t>Accessible Canada Act</w:t>
      </w:r>
      <w:r w:rsidRPr="00D44D7F">
        <w:t xml:space="preserve">, S.C. 2019, c. 10. </w:t>
      </w:r>
      <w:hyperlink r:id="rId31" w:tgtFrame="_new" w:history="1">
        <w:r w:rsidRPr="00D44D7F">
          <w:rPr>
            <w:rStyle w:val="Hyperlink"/>
          </w:rPr>
          <w:t>https://laws-lois.justice.gc.ca/eng/acts/A-0.6/</w:t>
        </w:r>
      </w:hyperlink>
    </w:p>
    <w:p w14:paraId="40EBB1D1" w14:textId="77777777" w:rsidR="00142DDD" w:rsidRPr="00D44D7F" w:rsidRDefault="00142DDD" w:rsidP="00142DDD">
      <w:pPr>
        <w:pStyle w:val="BodyCopy"/>
        <w:ind w:left="720" w:hanging="720"/>
      </w:pPr>
      <w:r w:rsidRPr="00D44D7F">
        <w:t xml:space="preserve">International Association of Accessibility Professionals (IAAP). (2023). </w:t>
      </w:r>
      <w:r w:rsidRPr="00D44D7F">
        <w:rPr>
          <w:i/>
          <w:iCs/>
        </w:rPr>
        <w:t>Certified Professional in Accessibility Core Competencies (CPACC) body of knowledge</w:t>
      </w:r>
      <w:r w:rsidRPr="00D44D7F">
        <w:t>.</w:t>
      </w:r>
    </w:p>
    <w:p w14:paraId="2D1184AE" w14:textId="36EB780F" w:rsidR="00142DDD" w:rsidRPr="00D44D7F" w:rsidRDefault="00142DDD" w:rsidP="00142DDD">
      <w:pPr>
        <w:pStyle w:val="BodyCopy"/>
        <w:ind w:left="720" w:hanging="720"/>
      </w:pPr>
      <w:r w:rsidRPr="00D44D7F">
        <w:t xml:space="preserve">Lazar, J., Goldstein, D. F., &amp; Taylor, A. (2015). </w:t>
      </w:r>
      <w:r w:rsidRPr="00D44D7F">
        <w:rPr>
          <w:i/>
          <w:iCs/>
        </w:rPr>
        <w:t>Ensuring digital accessibility through process and policy</w:t>
      </w:r>
      <w:r w:rsidR="00090DC8">
        <w:rPr>
          <w:i/>
          <w:iCs/>
        </w:rPr>
        <w:t xml:space="preserve">. </w:t>
      </w:r>
      <w:r w:rsidRPr="00D44D7F">
        <w:t>Morgan Kaufmann</w:t>
      </w:r>
      <w:r w:rsidR="00090DC8">
        <w:t xml:space="preserve"> Publishers</w:t>
      </w:r>
      <w:r w:rsidRPr="00D44D7F">
        <w:t>.</w:t>
      </w:r>
    </w:p>
    <w:p w14:paraId="141BD451" w14:textId="44FE3EC7" w:rsidR="00142DDD" w:rsidRPr="00D44D7F" w:rsidRDefault="00142DDD" w:rsidP="00142DDD">
      <w:pPr>
        <w:pStyle w:val="BodyCopy"/>
        <w:ind w:left="720" w:hanging="720"/>
      </w:pPr>
      <w:r w:rsidRPr="00D44D7F">
        <w:t xml:space="preserve">Mace, R. L. (1998). Universal design in housing. </w:t>
      </w:r>
      <w:r w:rsidRPr="00D44D7F">
        <w:rPr>
          <w:i/>
          <w:iCs/>
        </w:rPr>
        <w:t>Assistive Technology, 10</w:t>
      </w:r>
      <w:r w:rsidRPr="00D44D7F">
        <w:t xml:space="preserve">(1), 21–28. </w:t>
      </w:r>
      <w:hyperlink r:id="rId32" w:history="1">
        <w:r w:rsidR="0001750C" w:rsidRPr="006E17E4">
          <w:rPr>
            <w:rStyle w:val="Hyperlink"/>
          </w:rPr>
          <w:t>https://doi.org/10.1080/10400435.1998.10131957</w:t>
        </w:r>
      </w:hyperlink>
      <w:r w:rsidR="0001750C">
        <w:t xml:space="preserve"> </w:t>
      </w:r>
    </w:p>
    <w:p w14:paraId="0AACD762" w14:textId="7CC5146C" w:rsidR="00142DDD" w:rsidRPr="00B3545C" w:rsidRDefault="00142DDD" w:rsidP="00142DDD">
      <w:pPr>
        <w:pStyle w:val="BodyCopy"/>
        <w:ind w:left="720" w:hanging="720"/>
        <w:rPr>
          <w:lang w:val="fr-CA"/>
        </w:rPr>
      </w:pPr>
      <w:r w:rsidRPr="00D44D7F">
        <w:t xml:space="preserve">Norman, D. A. (2011). Natural user interfaces are not natural. </w:t>
      </w:r>
      <w:r w:rsidRPr="00B3545C">
        <w:rPr>
          <w:i/>
          <w:iCs/>
          <w:lang w:val="fr-CA"/>
        </w:rPr>
        <w:t>Interactions, 17</w:t>
      </w:r>
      <w:r w:rsidRPr="00B3545C">
        <w:rPr>
          <w:lang w:val="fr-CA"/>
        </w:rPr>
        <w:t xml:space="preserve">(3), 6–10. </w:t>
      </w:r>
      <w:hyperlink r:id="rId33" w:history="1">
        <w:r w:rsidR="0001750C" w:rsidRPr="006E17E4">
          <w:rPr>
            <w:rStyle w:val="Hyperlink"/>
            <w:lang w:val="fr-FR"/>
          </w:rPr>
          <w:t>https://doi.org/10.1145/1744161.1744163</w:t>
        </w:r>
      </w:hyperlink>
      <w:r w:rsidR="0001750C">
        <w:rPr>
          <w:lang w:val="fr-FR"/>
        </w:rPr>
        <w:t xml:space="preserve"> </w:t>
      </w:r>
    </w:p>
    <w:p w14:paraId="23CF87AC" w14:textId="79389506" w:rsidR="00142DDD" w:rsidRPr="007631AD" w:rsidRDefault="00142DDD" w:rsidP="00142DDD">
      <w:pPr>
        <w:pStyle w:val="BodyCopy"/>
        <w:ind w:left="720" w:hanging="720"/>
      </w:pPr>
      <w:r w:rsidRPr="007631AD">
        <w:rPr>
          <w:lang w:val="fr-FR"/>
        </w:rPr>
        <w:t xml:space="preserve">Oliver, M. (1990). </w:t>
      </w:r>
      <w:r w:rsidRPr="00D44D7F">
        <w:rPr>
          <w:i/>
          <w:iCs/>
        </w:rPr>
        <w:t>The politics of disablement</w:t>
      </w:r>
      <w:r w:rsidRPr="00D44D7F">
        <w:t xml:space="preserve">. </w:t>
      </w:r>
      <w:r w:rsidRPr="007631AD">
        <w:t xml:space="preserve">Palgrave Macmillan. </w:t>
      </w:r>
      <w:hyperlink r:id="rId34" w:history="1">
        <w:r w:rsidR="0001750C" w:rsidRPr="006E17E4">
          <w:rPr>
            <w:rStyle w:val="Hyperlink"/>
          </w:rPr>
          <w:t>https://doi.org/10.1007/978-1-349-20895-1</w:t>
        </w:r>
      </w:hyperlink>
      <w:r w:rsidR="0001750C">
        <w:t xml:space="preserve"> </w:t>
      </w:r>
    </w:p>
    <w:p w14:paraId="6B948662" w14:textId="0ED3BD90" w:rsidR="00142DDD" w:rsidRPr="00D44D7F" w:rsidRDefault="00142DDD" w:rsidP="00142DDD">
      <w:pPr>
        <w:pStyle w:val="BodyCopy"/>
        <w:ind w:left="720" w:hanging="720"/>
      </w:pPr>
      <w:r w:rsidRPr="00D44D7F">
        <w:lastRenderedPageBreak/>
        <w:t xml:space="preserve">Paulk, M. C., Curtis, B., Chrissis, M. B., &amp; Weber, C. V. (1993). Capability maturity model for software. </w:t>
      </w:r>
      <w:r w:rsidRPr="00D44D7F">
        <w:rPr>
          <w:i/>
          <w:iCs/>
        </w:rPr>
        <w:t>IEEE Software, 10</w:t>
      </w:r>
      <w:r w:rsidRPr="00D44D7F">
        <w:t xml:space="preserve">(4), 18–27. </w:t>
      </w:r>
      <w:hyperlink r:id="rId35" w:history="1">
        <w:r w:rsidR="0001750C" w:rsidRPr="006E17E4">
          <w:rPr>
            <w:rStyle w:val="Hyperlink"/>
          </w:rPr>
          <w:t>https://doi.org/10.1109/52.219617</w:t>
        </w:r>
      </w:hyperlink>
      <w:r w:rsidR="0001750C">
        <w:t xml:space="preserve"> </w:t>
      </w:r>
    </w:p>
    <w:p w14:paraId="3BF44095" w14:textId="77777777" w:rsidR="00142DDD" w:rsidRPr="00D44D7F" w:rsidRDefault="00142DDD" w:rsidP="00142DDD">
      <w:pPr>
        <w:pStyle w:val="BodyCopy"/>
        <w:ind w:left="720" w:hanging="720"/>
      </w:pPr>
      <w:r w:rsidRPr="00D44D7F">
        <w:t xml:space="preserve">Sanders, E. B. N., &amp; Stappers, P. J. (2008). Co-creation and the new landscapes of design. </w:t>
      </w:r>
      <w:r w:rsidRPr="00D44D7F">
        <w:rPr>
          <w:i/>
          <w:iCs/>
        </w:rPr>
        <w:t>CoDesign, 4</w:t>
      </w:r>
      <w:r w:rsidRPr="00D44D7F">
        <w:t xml:space="preserve">(1), 5–18. </w:t>
      </w:r>
      <w:hyperlink r:id="rId36" w:tgtFrame="_new" w:history="1">
        <w:r w:rsidRPr="00D44D7F">
          <w:rPr>
            <w:rStyle w:val="Hyperlink"/>
          </w:rPr>
          <w:t>https://doi.org/10.1080/15710880701875068</w:t>
        </w:r>
      </w:hyperlink>
    </w:p>
    <w:p w14:paraId="245E6C06" w14:textId="77777777" w:rsidR="00142DDD" w:rsidRPr="00D44D7F" w:rsidRDefault="00142DDD" w:rsidP="00142DDD">
      <w:pPr>
        <w:pStyle w:val="BodyCopy"/>
        <w:ind w:left="720" w:hanging="720"/>
      </w:pPr>
      <w:r w:rsidRPr="00D44D7F">
        <w:t xml:space="preserve">Thomas, J., &amp; Harden, A. (2008). Methods for the thematic synthesis of qualitative research in systematic reviews. </w:t>
      </w:r>
      <w:r w:rsidRPr="00D44D7F">
        <w:rPr>
          <w:i/>
          <w:iCs/>
        </w:rPr>
        <w:t>BMC Medical Research Methodology, 8</w:t>
      </w:r>
      <w:r w:rsidRPr="00D44D7F">
        <w:t xml:space="preserve">, Article 45. </w:t>
      </w:r>
      <w:hyperlink r:id="rId37" w:tgtFrame="_new" w:history="1">
        <w:r w:rsidRPr="00D44D7F">
          <w:rPr>
            <w:rStyle w:val="Hyperlink"/>
          </w:rPr>
          <w:t>https://doi.org/10.1186/1471-2288-8-45</w:t>
        </w:r>
      </w:hyperlink>
    </w:p>
    <w:p w14:paraId="5562D821" w14:textId="77777777" w:rsidR="00142DDD" w:rsidRDefault="00142DDD" w:rsidP="00142DDD">
      <w:pPr>
        <w:pStyle w:val="BodyCopy"/>
        <w:ind w:left="720" w:hanging="720"/>
      </w:pPr>
      <w:r w:rsidRPr="00D44D7F">
        <w:t xml:space="preserve">Ontario Government. (2005). </w:t>
      </w:r>
      <w:r w:rsidRPr="00D44D7F">
        <w:rPr>
          <w:i/>
          <w:iCs/>
        </w:rPr>
        <w:t>Accessibility for Ontarians with Disabilities Act, 2005</w:t>
      </w:r>
      <w:r w:rsidRPr="00D44D7F">
        <w:t xml:space="preserve">, S.O. 2005, c. 11. </w:t>
      </w:r>
      <w:hyperlink r:id="rId38" w:tgtFrame="_new" w:history="1">
        <w:r w:rsidRPr="00D44D7F">
          <w:rPr>
            <w:rStyle w:val="Hyperlink"/>
          </w:rPr>
          <w:t>https://www.ontario.ca/laws/statute/05a11</w:t>
        </w:r>
      </w:hyperlink>
    </w:p>
    <w:p w14:paraId="4C0A3B6F" w14:textId="77777777" w:rsidR="00142DDD" w:rsidRPr="00432242" w:rsidRDefault="00142DDD" w:rsidP="00142DDD">
      <w:pPr>
        <w:pStyle w:val="BodyCopy"/>
        <w:ind w:left="720" w:hanging="720"/>
      </w:pPr>
      <w:r w:rsidRPr="00432242">
        <w:t>W3C (World Wide Web Consortium). (2024). </w:t>
      </w:r>
      <w:r w:rsidRPr="00432242">
        <w:rPr>
          <w:i/>
          <w:iCs/>
        </w:rPr>
        <w:t>Web Content Accessibility Guidelines (WCAG) 2.2</w:t>
      </w:r>
      <w:r w:rsidRPr="00432242">
        <w:t>. Retrieved from </w:t>
      </w:r>
      <w:hyperlink r:id="rId39" w:history="1">
        <w:r w:rsidRPr="00432242">
          <w:rPr>
            <w:rStyle w:val="Hyperlink"/>
          </w:rPr>
          <w:t>https://www.w3.org/TR/WCAG22/</w:t>
        </w:r>
      </w:hyperlink>
    </w:p>
    <w:p w14:paraId="7C86EA89" w14:textId="77777777" w:rsidR="00142DDD" w:rsidRDefault="00142DDD" w:rsidP="00142DDD">
      <w:pPr>
        <w:pStyle w:val="BodyCopy"/>
        <w:ind w:left="720" w:hanging="720"/>
      </w:pPr>
      <w:r w:rsidRPr="00432242">
        <w:rPr>
          <w:b/>
          <w:bCs/>
        </w:rPr>
        <w:t>CNIB Internal Documents (available upon request):</w:t>
      </w:r>
    </w:p>
    <w:p w14:paraId="633D13B9" w14:textId="77777777" w:rsidR="00142DDD" w:rsidRDefault="00142DDD" w:rsidP="00142DDD">
      <w:pPr>
        <w:pStyle w:val="BodyCopy"/>
        <w:ind w:left="720" w:hanging="720"/>
      </w:pPr>
      <w:r w:rsidRPr="00432242">
        <w:t>Canadian National Institute for the Blind (CNIB). (2023a). </w:t>
      </w:r>
      <w:r w:rsidRPr="00432242">
        <w:rPr>
          <w:i/>
          <w:iCs/>
        </w:rPr>
        <w:t>Accessibility Competencies Framework (Spreadsheet Draft)</w:t>
      </w:r>
      <w:r w:rsidRPr="00432242">
        <w:t>. Internal document.</w:t>
      </w:r>
    </w:p>
    <w:p w14:paraId="35D729AC" w14:textId="77777777" w:rsidR="00142DDD" w:rsidRDefault="00142DDD" w:rsidP="00142DDD">
      <w:pPr>
        <w:pStyle w:val="BodyCopy"/>
        <w:ind w:left="720" w:hanging="720"/>
      </w:pPr>
      <w:r w:rsidRPr="00432242">
        <w:t>Canadian National Institute for the Blind (CNIB). (2024a). </w:t>
      </w:r>
      <w:r w:rsidRPr="00432242">
        <w:rPr>
          <w:i/>
          <w:iCs/>
        </w:rPr>
        <w:t>Accessibility Competencies Co-design Slide Deck</w:t>
      </w:r>
      <w:r w:rsidRPr="00432242">
        <w:t>. Internal document.</w:t>
      </w:r>
    </w:p>
    <w:p w14:paraId="3EEB0E83" w14:textId="77777777" w:rsidR="00142DDD" w:rsidRDefault="00142DDD" w:rsidP="00142DDD">
      <w:pPr>
        <w:pStyle w:val="BodyCopy"/>
        <w:ind w:left="720" w:hanging="720"/>
      </w:pPr>
      <w:r w:rsidRPr="00432242">
        <w:t>Canadian National Institute for the Blind (CNIB). (2026a). </w:t>
      </w:r>
      <w:r w:rsidRPr="00432242">
        <w:rPr>
          <w:i/>
          <w:iCs/>
        </w:rPr>
        <w:t>Anonymized Co-Design Session Record</w:t>
      </w:r>
      <w:r w:rsidRPr="00432242">
        <w:t>. Internal documen</w:t>
      </w:r>
      <w:r w:rsidR="00507B48">
        <w:t>t</w:t>
      </w:r>
    </w:p>
    <w:p w14:paraId="3CEDB2D4" w14:textId="77777777" w:rsidR="0034071F" w:rsidRDefault="0034071F" w:rsidP="00507B48">
      <w:pPr>
        <w:pStyle w:val="BodyCopy"/>
      </w:pPr>
    </w:p>
    <w:p w14:paraId="642F7146" w14:textId="4045CFA3" w:rsidR="0034071F" w:rsidRDefault="0034071F" w:rsidP="00CB40B5">
      <w:pPr>
        <w:pStyle w:val="Heading3"/>
      </w:pPr>
      <w:bookmarkStart w:id="54" w:name="_Toc243923439"/>
      <w:r>
        <w:lastRenderedPageBreak/>
        <w:t>Chapter 5</w:t>
      </w:r>
      <w:bookmarkEnd w:id="54"/>
    </w:p>
    <w:p w14:paraId="3D16433A" w14:textId="4BB11996" w:rsidR="0034071F" w:rsidRPr="00507B48" w:rsidRDefault="0034071F" w:rsidP="0034071F">
      <w:pPr>
        <w:pStyle w:val="BodyCopy"/>
        <w:ind w:left="720" w:hanging="720"/>
      </w:pPr>
      <w:r w:rsidRPr="00507B48">
        <w:t>CNIB–Ipsos Public Attitudes Study (2023). Understanding Social Desirability Bias Towards the White Cane in the Canadian Public Using the Multi-dimensional Survey. Authors: Michaela Knot, Ana Sofia Barrows, Kathy Beitz, Mahadeo Sukhai, Christine Hochbaum. Internal report. References available upon request.</w:t>
      </w:r>
    </w:p>
    <w:p w14:paraId="2BAD40F4" w14:textId="77777777" w:rsidR="00753E1C" w:rsidRDefault="0034071F" w:rsidP="001003B2">
      <w:pPr>
        <w:pStyle w:val="BodyCopy"/>
        <w:ind w:left="720" w:hanging="720"/>
      </w:pPr>
      <w:r w:rsidRPr="00507B48">
        <w:t>Danyluck, C. (2024). Highlighting Commonalities and Distinctiveness Amongst Colleagues to Build Bonds in Visually Diverse Work Environments. Statement of Work and Research Agreement. Canadian National Institute for the Blind and Carleton University. Internal documentation. References available upon reque</w:t>
      </w:r>
      <w:r w:rsidR="001003B2">
        <w:t>st.</w:t>
      </w:r>
    </w:p>
    <w:p w14:paraId="62869E0C" w14:textId="77777777" w:rsidR="00D57FC3" w:rsidRDefault="00D57FC3" w:rsidP="00615DC8">
      <w:pPr>
        <w:pStyle w:val="Heading2"/>
        <w:rPr>
          <w:rFonts w:eastAsia="Calibri"/>
        </w:rPr>
        <w:sectPr w:rsidR="00D57FC3" w:rsidSect="00142DDD">
          <w:pgSz w:w="12240" w:h="15840"/>
          <w:pgMar w:top="1728" w:right="1440" w:bottom="1080" w:left="1440" w:header="709" w:footer="317" w:gutter="0"/>
          <w:cols w:space="708"/>
          <w:docGrid w:linePitch="360"/>
        </w:sectPr>
      </w:pPr>
    </w:p>
    <w:p w14:paraId="7E453AC0" w14:textId="5EE7136A" w:rsidR="00615DC8" w:rsidRPr="00615DC8" w:rsidRDefault="00615DC8" w:rsidP="00615DC8">
      <w:pPr>
        <w:pStyle w:val="Heading2"/>
        <w:rPr>
          <w:rFonts w:eastAsia="Calibri"/>
        </w:rPr>
      </w:pPr>
      <w:bookmarkStart w:id="55" w:name="_Toc243923440"/>
      <w:r>
        <w:rPr>
          <w:rFonts w:eastAsia="Calibri"/>
        </w:rPr>
        <w:lastRenderedPageBreak/>
        <w:t xml:space="preserve">Appendix </w:t>
      </w:r>
      <w:r w:rsidR="001E6F7D">
        <w:rPr>
          <w:rFonts w:eastAsia="Calibri"/>
        </w:rPr>
        <w:t>A</w:t>
      </w:r>
      <w:r w:rsidR="00776EBA">
        <w:rPr>
          <w:rFonts w:eastAsia="Calibri"/>
        </w:rPr>
        <w:t>.</w:t>
      </w:r>
      <w:r>
        <w:rPr>
          <w:rFonts w:eastAsia="Calibri"/>
        </w:rPr>
        <w:t xml:space="preserve"> </w:t>
      </w:r>
      <w:r w:rsidRPr="00615DC8">
        <w:rPr>
          <w:rFonts w:eastAsia="Calibri"/>
        </w:rPr>
        <w:t>Inclusive Leadership Foundations for Emerging Leaders</w:t>
      </w:r>
      <w:bookmarkEnd w:id="55"/>
    </w:p>
    <w:p w14:paraId="40EBDF98" w14:textId="736A91E0" w:rsidR="00615DC8" w:rsidRPr="00615DC8" w:rsidRDefault="00615DC8" w:rsidP="00810318">
      <w:pPr>
        <w:pStyle w:val="BodyCopy"/>
        <w:rPr>
          <w:rFonts w:eastAsia="Calibri"/>
        </w:rPr>
      </w:pPr>
      <w:r w:rsidRPr="00615DC8">
        <w:rPr>
          <w:rFonts w:eastAsia="Calibri"/>
          <w:b/>
          <w:bCs/>
        </w:rPr>
        <w:t>Inclusive Leadership Foundations</w:t>
      </w:r>
      <w:r w:rsidRPr="00615DC8">
        <w:rPr>
          <w:rFonts w:eastAsia="Calibri"/>
        </w:rPr>
        <w:t xml:space="preserve"> is a two</w:t>
      </w:r>
      <w:r w:rsidRPr="00615DC8">
        <w:rPr>
          <w:rFonts w:eastAsia="Calibri"/>
        </w:rPr>
        <w:noBreakHyphen/>
        <w:t>part learning series designed to support leaders in building inclusive, respectful, and accountable workplaces. The series focuses on practical leadership behaviours grounded in ethics, cultural humility, participation, and shared responsibility.</w:t>
      </w:r>
    </w:p>
    <w:p w14:paraId="33EDB032" w14:textId="77777777" w:rsidR="00615DC8" w:rsidRPr="00615DC8" w:rsidRDefault="00615DC8" w:rsidP="00810318">
      <w:pPr>
        <w:pStyle w:val="BodyCopy"/>
        <w:rPr>
          <w:rFonts w:eastAsia="Calibri"/>
        </w:rPr>
      </w:pPr>
      <w:r w:rsidRPr="00615DC8">
        <w:rPr>
          <w:rFonts w:eastAsia="Calibri"/>
        </w:rPr>
        <w:t>The series moves leaders from values and responsibility to everyday leadership practice. Session 1 focuses on the ethical foundations of inclusive leadership. Session 2 focuses on how leaders apply those foundations when leading across differences in diverse teams and navigating everyday organizational dynamics.</w:t>
      </w:r>
    </w:p>
    <w:p w14:paraId="408D502C" w14:textId="77777777" w:rsidR="00615DC8" w:rsidRPr="00615DC8" w:rsidRDefault="00615DC8" w:rsidP="00810318">
      <w:pPr>
        <w:pStyle w:val="BodyCopy"/>
        <w:rPr>
          <w:rFonts w:eastAsia="Calibri"/>
        </w:rPr>
      </w:pPr>
      <w:r w:rsidRPr="00615DC8">
        <w:rPr>
          <w:rFonts w:eastAsia="Calibri"/>
        </w:rPr>
        <w:t>This series is designed for managers, people leaders, and anyone with influence over teams, decisions, processes, or workplace culture.</w:t>
      </w:r>
    </w:p>
    <w:p w14:paraId="084971F1" w14:textId="77777777" w:rsidR="00615DC8" w:rsidRPr="00615DC8" w:rsidRDefault="00615DC8" w:rsidP="00CB40B5">
      <w:pPr>
        <w:pStyle w:val="Heading3"/>
        <w:rPr>
          <w:rFonts w:eastAsia="Calibri"/>
        </w:rPr>
      </w:pPr>
      <w:bookmarkStart w:id="56" w:name="_Toc243923441"/>
      <w:r w:rsidRPr="00615DC8">
        <w:rPr>
          <w:rFonts w:eastAsia="Calibri"/>
        </w:rPr>
        <w:t>Session 1: The Role of Ethical Leadership</w:t>
      </w:r>
      <w:bookmarkEnd w:id="56"/>
    </w:p>
    <w:p w14:paraId="04A4E8BF" w14:textId="77777777" w:rsidR="00615DC8" w:rsidRPr="00615DC8" w:rsidRDefault="00615DC8" w:rsidP="00DA39BA">
      <w:pPr>
        <w:pStyle w:val="Heading4"/>
        <w:rPr>
          <w:rFonts w:eastAsia="Calibri"/>
        </w:rPr>
      </w:pPr>
      <w:r w:rsidRPr="00615DC8">
        <w:rPr>
          <w:rFonts w:eastAsia="Calibri"/>
        </w:rPr>
        <w:t>Purpose of the Session</w:t>
      </w:r>
    </w:p>
    <w:p w14:paraId="458191B9" w14:textId="77777777" w:rsidR="00615DC8" w:rsidRPr="00615DC8" w:rsidRDefault="00615DC8" w:rsidP="00810318">
      <w:pPr>
        <w:pStyle w:val="BodyCopy"/>
        <w:rPr>
          <w:rFonts w:eastAsia="Calibri"/>
        </w:rPr>
      </w:pPr>
      <w:r w:rsidRPr="00615DC8">
        <w:rPr>
          <w:rFonts w:eastAsia="Calibri"/>
        </w:rPr>
        <w:t>To build a shared foundation for inclusive leadership by focusing on ethics, cultural humility, co</w:t>
      </w:r>
      <w:r w:rsidRPr="00615DC8">
        <w:rPr>
          <w:rFonts w:eastAsia="Calibri"/>
        </w:rPr>
        <w:noBreakHyphen/>
        <w:t>design, participation, accountability, and the everyday leadership actions that shape workplace culture.</w:t>
      </w:r>
    </w:p>
    <w:p w14:paraId="16C031BD" w14:textId="77777777" w:rsidR="00615DC8" w:rsidRPr="00615DC8" w:rsidRDefault="00615DC8" w:rsidP="00DA39BA">
      <w:pPr>
        <w:pStyle w:val="Heading4"/>
        <w:rPr>
          <w:rFonts w:eastAsia="Calibri"/>
        </w:rPr>
      </w:pPr>
      <w:r w:rsidRPr="00615DC8">
        <w:rPr>
          <w:rFonts w:eastAsia="Calibri"/>
        </w:rPr>
        <w:t>Session Description</w:t>
      </w:r>
    </w:p>
    <w:p w14:paraId="6640D6BB" w14:textId="77777777" w:rsidR="00615DC8" w:rsidRPr="00615DC8" w:rsidRDefault="00615DC8" w:rsidP="00810318">
      <w:pPr>
        <w:pStyle w:val="BodyCopy"/>
        <w:rPr>
          <w:rFonts w:eastAsia="Calibri"/>
        </w:rPr>
      </w:pPr>
      <w:r w:rsidRPr="00615DC8">
        <w:rPr>
          <w:rFonts w:eastAsia="Calibri"/>
        </w:rPr>
        <w:t>Ethical leadership is not only about personal values. It is about how leaders use power, make decisions, and create conditions where people feel respected, included, and able to participate fully in their work.</w:t>
      </w:r>
    </w:p>
    <w:p w14:paraId="607AB12D" w14:textId="77777777" w:rsidR="00615DC8" w:rsidRPr="00615DC8" w:rsidRDefault="00615DC8" w:rsidP="00810318">
      <w:pPr>
        <w:pStyle w:val="BodyCopy"/>
        <w:rPr>
          <w:rFonts w:eastAsia="Calibri"/>
        </w:rPr>
      </w:pPr>
      <w:r w:rsidRPr="00615DC8">
        <w:rPr>
          <w:rFonts w:eastAsia="Calibri"/>
        </w:rPr>
        <w:lastRenderedPageBreak/>
        <w:t>This session focuses on cultural humility as the foundation of ethical leadership. Participants will explore ongoing self</w:t>
      </w:r>
      <w:r w:rsidRPr="00615DC8">
        <w:rPr>
          <w:rFonts w:eastAsia="Calibri"/>
        </w:rPr>
        <w:noBreakHyphen/>
        <w:t xml:space="preserve">reflection, awareness of power and positionality, and openness to learning from others. </w:t>
      </w:r>
      <w:r w:rsidRPr="00615DC8">
        <w:rPr>
          <w:rFonts w:eastAsia="Calibri"/>
          <w:b/>
          <w:bCs/>
        </w:rPr>
        <w:t>Cultural humility</w:t>
      </w:r>
      <w:r w:rsidRPr="00615DC8">
        <w:rPr>
          <w:rFonts w:eastAsia="Calibri"/>
        </w:rPr>
        <w:t xml:space="preserve"> is introduced as essential to inclusive leadership and to working with people rather than making decisions about them.</w:t>
      </w:r>
    </w:p>
    <w:p w14:paraId="5DEC051B" w14:textId="77777777" w:rsidR="00615DC8" w:rsidRPr="00615DC8" w:rsidRDefault="00615DC8" w:rsidP="00810318">
      <w:pPr>
        <w:pStyle w:val="BodyCopy"/>
        <w:rPr>
          <w:rFonts w:eastAsia="Calibri"/>
        </w:rPr>
      </w:pPr>
      <w:r w:rsidRPr="00615DC8">
        <w:rPr>
          <w:rFonts w:eastAsia="Calibri"/>
        </w:rPr>
        <w:t>Cultural humility is also connected to co</w:t>
      </w:r>
      <w:r w:rsidRPr="00615DC8">
        <w:rPr>
          <w:rFonts w:eastAsia="Calibri"/>
        </w:rPr>
        <w:noBreakHyphen/>
        <w:t xml:space="preserve">design and the principle of </w:t>
      </w:r>
      <w:r w:rsidRPr="00615DC8">
        <w:rPr>
          <w:rFonts w:eastAsia="Calibri"/>
          <w:i/>
          <w:iCs/>
        </w:rPr>
        <w:t>“nothing about us without us.”</w:t>
      </w:r>
      <w:r w:rsidRPr="00615DC8">
        <w:rPr>
          <w:rFonts w:eastAsia="Calibri"/>
        </w:rPr>
        <w:t xml:space="preserve"> Leaders will reflect on how decisions are shaped, whose perspectives are included, and when collaboration is needed to strengthen outcomes and trust.</w:t>
      </w:r>
    </w:p>
    <w:p w14:paraId="428CBD04" w14:textId="77777777" w:rsidR="00615DC8" w:rsidRPr="00615DC8" w:rsidRDefault="00615DC8" w:rsidP="00810318">
      <w:pPr>
        <w:pStyle w:val="BodyCopy"/>
        <w:rPr>
          <w:rFonts w:eastAsia="Calibri"/>
        </w:rPr>
      </w:pPr>
      <w:r w:rsidRPr="00615DC8">
        <w:rPr>
          <w:rFonts w:eastAsia="Calibri"/>
        </w:rPr>
        <w:t xml:space="preserve">A key focus of the session is </w:t>
      </w:r>
      <w:r w:rsidRPr="00615DC8">
        <w:rPr>
          <w:rFonts w:eastAsia="Calibri"/>
          <w:b/>
          <w:bCs/>
        </w:rPr>
        <w:t>participation and accountability</w:t>
      </w:r>
      <w:r w:rsidRPr="00615DC8">
        <w:rPr>
          <w:rFonts w:eastAsia="Calibri"/>
        </w:rPr>
        <w:t>. Leaders will explore participation as a spectrum, from sharing information, to seeking input, to shared decision</w:t>
      </w:r>
      <w:r w:rsidRPr="00615DC8">
        <w:rPr>
          <w:rFonts w:eastAsia="Calibri"/>
        </w:rPr>
        <w:noBreakHyphen/>
        <w:t>making. The focus is not on doing “everything right,” but on being clear and transparent about how decisions are made, who has influence, and what meaningful participation looks like in real workplace situations.</w:t>
      </w:r>
    </w:p>
    <w:p w14:paraId="2C3C24FC" w14:textId="77777777" w:rsidR="00615DC8" w:rsidRPr="00615DC8" w:rsidRDefault="00615DC8" w:rsidP="00810318">
      <w:pPr>
        <w:pStyle w:val="BodyCopy"/>
        <w:rPr>
          <w:rFonts w:eastAsia="Calibri"/>
        </w:rPr>
      </w:pPr>
      <w:r w:rsidRPr="00615DC8">
        <w:rPr>
          <w:rFonts w:eastAsia="Calibri"/>
        </w:rPr>
        <w:t xml:space="preserve">The session also introduces </w:t>
      </w:r>
      <w:r w:rsidRPr="00615DC8">
        <w:rPr>
          <w:rFonts w:eastAsia="Calibri"/>
          <w:b/>
          <w:bCs/>
        </w:rPr>
        <w:t>bystander and upstander intervention</w:t>
      </w:r>
      <w:r w:rsidRPr="00615DC8">
        <w:rPr>
          <w:rFonts w:eastAsia="Calibri"/>
        </w:rPr>
        <w:t xml:space="preserve"> as an everyday leadership skill. Leaders are not neutral observers of workplace culture. What leaders do, or choose not to do, sends strong signals. Participants will practice realistic and respectful ways to step in during everyday moments that affect inclusion, connection, or team dynamics. The emphasis is on practical language, curiosity, and small actions that support learning and relationship repair.</w:t>
      </w:r>
    </w:p>
    <w:p w14:paraId="1A63ABEB" w14:textId="77777777" w:rsidR="00615DC8" w:rsidRPr="00615DC8" w:rsidRDefault="00615DC8" w:rsidP="00810318">
      <w:pPr>
        <w:pStyle w:val="BodyCopy"/>
        <w:rPr>
          <w:rFonts w:eastAsia="Calibri"/>
        </w:rPr>
      </w:pPr>
      <w:r w:rsidRPr="00615DC8">
        <w:rPr>
          <w:rFonts w:eastAsia="Calibri"/>
        </w:rPr>
        <w:t>To support follow</w:t>
      </w:r>
      <w:r w:rsidRPr="00615DC8">
        <w:rPr>
          <w:rFonts w:eastAsia="Calibri"/>
        </w:rPr>
        <w:noBreakHyphen/>
        <w:t xml:space="preserve">through, the session introduces a simple </w:t>
      </w:r>
      <w:r w:rsidRPr="00615DC8">
        <w:rPr>
          <w:rFonts w:eastAsia="Calibri"/>
          <w:b/>
          <w:bCs/>
        </w:rPr>
        <w:t>accountability ladder</w:t>
      </w:r>
      <w:r w:rsidRPr="00615DC8">
        <w:rPr>
          <w:rFonts w:eastAsia="Calibri"/>
        </w:rPr>
        <w:t xml:space="preserve"> leaders can use after receiving feedback, noticing a gap, or learning that something needs adjustment. This approach supports trust</w:t>
      </w:r>
      <w:r w:rsidRPr="00615DC8">
        <w:rPr>
          <w:rFonts w:eastAsia="Calibri"/>
        </w:rPr>
        <w:noBreakHyphen/>
        <w:t>building through clear communication, action, and learning over time.</w:t>
      </w:r>
    </w:p>
    <w:p w14:paraId="7CC71E13" w14:textId="77777777" w:rsidR="00615DC8" w:rsidRPr="00615DC8" w:rsidRDefault="00615DC8" w:rsidP="00DA39BA">
      <w:pPr>
        <w:pStyle w:val="Heading4"/>
        <w:rPr>
          <w:rFonts w:eastAsia="Calibri"/>
        </w:rPr>
      </w:pPr>
      <w:r w:rsidRPr="00615DC8">
        <w:rPr>
          <w:rFonts w:eastAsia="Calibri"/>
        </w:rPr>
        <w:t>What You Will Learn and Practice</w:t>
      </w:r>
    </w:p>
    <w:p w14:paraId="7DD9B895" w14:textId="77777777" w:rsidR="00615DC8" w:rsidRPr="00615DC8" w:rsidRDefault="00615DC8" w:rsidP="00810318">
      <w:pPr>
        <w:pStyle w:val="BodyCopy"/>
        <w:rPr>
          <w:rFonts w:eastAsia="Calibri"/>
        </w:rPr>
      </w:pPr>
      <w:r w:rsidRPr="00615DC8">
        <w:rPr>
          <w:rFonts w:eastAsia="Calibri"/>
        </w:rPr>
        <w:t>Cultural humility as a leadership stance that supports ongoing learning and reflection</w:t>
      </w:r>
    </w:p>
    <w:p w14:paraId="248B2BBC" w14:textId="77777777" w:rsidR="00615DC8" w:rsidRPr="00615DC8" w:rsidRDefault="00615DC8" w:rsidP="00810318">
      <w:pPr>
        <w:pStyle w:val="BodyCopy"/>
        <w:rPr>
          <w:rFonts w:eastAsia="Calibri"/>
        </w:rPr>
      </w:pPr>
      <w:r w:rsidRPr="00615DC8">
        <w:rPr>
          <w:rFonts w:eastAsia="Calibri"/>
        </w:rPr>
        <w:lastRenderedPageBreak/>
        <w:t>Co</w:t>
      </w:r>
      <w:r w:rsidRPr="00615DC8">
        <w:rPr>
          <w:rFonts w:eastAsia="Calibri"/>
        </w:rPr>
        <w:noBreakHyphen/>
        <w:t>design and “nothing about us without us” as an ethical standard for decisions that affect others</w:t>
      </w:r>
    </w:p>
    <w:p w14:paraId="0A198BAA" w14:textId="77777777" w:rsidR="00615DC8" w:rsidRPr="00615DC8" w:rsidRDefault="00615DC8" w:rsidP="00810318">
      <w:pPr>
        <w:pStyle w:val="BodyCopy"/>
        <w:rPr>
          <w:rFonts w:eastAsia="Calibri"/>
        </w:rPr>
      </w:pPr>
      <w:r w:rsidRPr="00615DC8">
        <w:rPr>
          <w:rFonts w:eastAsia="Calibri"/>
        </w:rPr>
        <w:t>Participation as a spectrum, including how to move from input to meaningful influence when appropriate</w:t>
      </w:r>
    </w:p>
    <w:p w14:paraId="110FAD5C" w14:textId="77777777" w:rsidR="00615DC8" w:rsidRPr="00615DC8" w:rsidRDefault="00615DC8" w:rsidP="00810318">
      <w:pPr>
        <w:pStyle w:val="BodyCopy"/>
        <w:rPr>
          <w:rFonts w:eastAsia="Calibri"/>
        </w:rPr>
      </w:pPr>
      <w:r w:rsidRPr="00615DC8">
        <w:rPr>
          <w:rFonts w:eastAsia="Calibri"/>
        </w:rPr>
        <w:t>Relational accountability, including how leaders hold accountability with people after asking for input or receiving feedback</w:t>
      </w:r>
    </w:p>
    <w:p w14:paraId="217A6988" w14:textId="77777777" w:rsidR="00615DC8" w:rsidRPr="00615DC8" w:rsidRDefault="00615DC8" w:rsidP="00810318">
      <w:pPr>
        <w:pStyle w:val="BodyCopy"/>
        <w:rPr>
          <w:rFonts w:eastAsia="Calibri"/>
        </w:rPr>
      </w:pPr>
      <w:r w:rsidRPr="00615DC8">
        <w:rPr>
          <w:rFonts w:eastAsia="Calibri"/>
        </w:rPr>
        <w:t>Upstander intervention as everyday leadership practice, including respectful ways to pause, clarify, invite participation, and repair misunderstandings</w:t>
      </w:r>
    </w:p>
    <w:p w14:paraId="702F4857" w14:textId="77777777" w:rsidR="00615DC8" w:rsidRPr="00615DC8" w:rsidRDefault="00615DC8" w:rsidP="00DA39BA">
      <w:pPr>
        <w:pStyle w:val="Heading4"/>
        <w:rPr>
          <w:rFonts w:eastAsia="Calibri"/>
        </w:rPr>
      </w:pPr>
      <w:r w:rsidRPr="00615DC8">
        <w:rPr>
          <w:rFonts w:eastAsia="Calibri"/>
        </w:rPr>
        <w:t>Learning Outcomes</w:t>
      </w:r>
    </w:p>
    <w:p w14:paraId="60F72BD0" w14:textId="77777777" w:rsidR="00615DC8" w:rsidRPr="00615DC8" w:rsidRDefault="00615DC8" w:rsidP="00810318">
      <w:pPr>
        <w:pStyle w:val="BodyCopy"/>
        <w:rPr>
          <w:rFonts w:eastAsia="Calibri"/>
        </w:rPr>
      </w:pPr>
      <w:r w:rsidRPr="00615DC8">
        <w:rPr>
          <w:rFonts w:eastAsia="Calibri"/>
        </w:rPr>
        <w:t>By the end of Session 1, participants will be able to:</w:t>
      </w:r>
    </w:p>
    <w:p w14:paraId="0558AE4C" w14:textId="77777777" w:rsidR="00615DC8" w:rsidRPr="00615DC8" w:rsidRDefault="00615DC8" w:rsidP="00DA39BA">
      <w:pPr>
        <w:pStyle w:val="BodyCopy"/>
        <w:numPr>
          <w:ilvl w:val="0"/>
          <w:numId w:val="47"/>
        </w:numPr>
        <w:rPr>
          <w:rFonts w:eastAsia="Calibri"/>
        </w:rPr>
      </w:pPr>
      <w:r w:rsidRPr="00615DC8">
        <w:rPr>
          <w:rFonts w:eastAsia="Calibri"/>
        </w:rPr>
        <w:t>Explain ethical leadership as a relational and accountable practice</w:t>
      </w:r>
    </w:p>
    <w:p w14:paraId="36234405" w14:textId="77777777" w:rsidR="00615DC8" w:rsidRPr="00615DC8" w:rsidRDefault="00615DC8" w:rsidP="00DA39BA">
      <w:pPr>
        <w:pStyle w:val="BodyCopy"/>
        <w:numPr>
          <w:ilvl w:val="0"/>
          <w:numId w:val="47"/>
        </w:numPr>
        <w:rPr>
          <w:rFonts w:eastAsia="Calibri"/>
        </w:rPr>
      </w:pPr>
      <w:r w:rsidRPr="00615DC8">
        <w:rPr>
          <w:rFonts w:eastAsia="Calibri"/>
        </w:rPr>
        <w:t>Describe cultural humility and why it matters for leadership</w:t>
      </w:r>
    </w:p>
    <w:p w14:paraId="01F54651" w14:textId="77777777" w:rsidR="00615DC8" w:rsidRPr="00615DC8" w:rsidRDefault="00615DC8" w:rsidP="00DA39BA">
      <w:pPr>
        <w:pStyle w:val="BodyCopy"/>
        <w:numPr>
          <w:ilvl w:val="0"/>
          <w:numId w:val="47"/>
        </w:numPr>
        <w:rPr>
          <w:rFonts w:eastAsia="Calibri"/>
        </w:rPr>
      </w:pPr>
      <w:r w:rsidRPr="00615DC8">
        <w:rPr>
          <w:rFonts w:eastAsia="Calibri"/>
        </w:rPr>
        <w:t>Understand co</w:t>
      </w:r>
      <w:r w:rsidRPr="00615DC8">
        <w:rPr>
          <w:rFonts w:eastAsia="Calibri"/>
        </w:rPr>
        <w:noBreakHyphen/>
        <w:t>design as working with people rather than for people</w:t>
      </w:r>
    </w:p>
    <w:p w14:paraId="39974461" w14:textId="77777777" w:rsidR="00615DC8" w:rsidRPr="00615DC8" w:rsidRDefault="00615DC8" w:rsidP="00DA39BA">
      <w:pPr>
        <w:pStyle w:val="BodyCopy"/>
        <w:numPr>
          <w:ilvl w:val="0"/>
          <w:numId w:val="47"/>
        </w:numPr>
        <w:rPr>
          <w:rFonts w:eastAsia="Calibri"/>
        </w:rPr>
      </w:pPr>
      <w:r w:rsidRPr="00615DC8">
        <w:rPr>
          <w:rFonts w:eastAsia="Calibri"/>
        </w:rPr>
        <w:t>Use a participation spectrum to recognize different levels of influence and decision</w:t>
      </w:r>
      <w:r w:rsidRPr="00615DC8">
        <w:rPr>
          <w:rFonts w:eastAsia="Calibri"/>
        </w:rPr>
        <w:noBreakHyphen/>
        <w:t>making</w:t>
      </w:r>
    </w:p>
    <w:p w14:paraId="7B27047F" w14:textId="77777777" w:rsidR="00615DC8" w:rsidRPr="00615DC8" w:rsidRDefault="00615DC8" w:rsidP="00DA39BA">
      <w:pPr>
        <w:pStyle w:val="BodyCopy"/>
        <w:numPr>
          <w:ilvl w:val="0"/>
          <w:numId w:val="47"/>
        </w:numPr>
        <w:rPr>
          <w:rFonts w:eastAsia="Calibri"/>
        </w:rPr>
      </w:pPr>
      <w:r w:rsidRPr="00615DC8">
        <w:rPr>
          <w:rFonts w:eastAsia="Calibri"/>
        </w:rPr>
        <w:t>Apply an accountability ladder to support follow</w:t>
      </w:r>
      <w:r w:rsidRPr="00615DC8">
        <w:rPr>
          <w:rFonts w:eastAsia="Calibri"/>
        </w:rPr>
        <w:noBreakHyphen/>
        <w:t>through after feedback or learning moments</w:t>
      </w:r>
    </w:p>
    <w:p w14:paraId="22E46304" w14:textId="77777777" w:rsidR="00615DC8" w:rsidRPr="00615DC8" w:rsidRDefault="00615DC8" w:rsidP="00DA39BA">
      <w:pPr>
        <w:pStyle w:val="BodyCopy"/>
        <w:numPr>
          <w:ilvl w:val="0"/>
          <w:numId w:val="47"/>
        </w:numPr>
        <w:rPr>
          <w:rFonts w:eastAsia="Calibri"/>
        </w:rPr>
      </w:pPr>
      <w:r w:rsidRPr="00615DC8">
        <w:rPr>
          <w:rFonts w:eastAsia="Calibri"/>
        </w:rPr>
        <w:t>Practice realistic bystander</w:t>
      </w:r>
      <w:r w:rsidRPr="00615DC8">
        <w:rPr>
          <w:rFonts w:eastAsia="Calibri"/>
        </w:rPr>
        <w:noBreakHyphen/>
        <w:t>to</w:t>
      </w:r>
      <w:r w:rsidRPr="00615DC8">
        <w:rPr>
          <w:rFonts w:eastAsia="Calibri"/>
        </w:rPr>
        <w:noBreakHyphen/>
        <w:t>upstander interventions that fit everyday workplace realities</w:t>
      </w:r>
    </w:p>
    <w:p w14:paraId="2EB75311" w14:textId="77777777" w:rsidR="00615DC8" w:rsidRPr="00615DC8" w:rsidRDefault="00615DC8" w:rsidP="00CB40B5">
      <w:pPr>
        <w:pStyle w:val="Heading3"/>
        <w:rPr>
          <w:rFonts w:eastAsia="Calibri"/>
        </w:rPr>
      </w:pPr>
      <w:bookmarkStart w:id="57" w:name="_Toc243923442"/>
      <w:r w:rsidRPr="00615DC8">
        <w:rPr>
          <w:rFonts w:eastAsia="Calibri"/>
        </w:rPr>
        <w:lastRenderedPageBreak/>
        <w:t>Session 2: Leading Across Differences in Practice</w:t>
      </w:r>
      <w:bookmarkEnd w:id="57"/>
    </w:p>
    <w:p w14:paraId="49FA7902" w14:textId="77777777" w:rsidR="00615DC8" w:rsidRPr="00615DC8" w:rsidRDefault="00615DC8" w:rsidP="00DA39BA">
      <w:pPr>
        <w:pStyle w:val="Heading4"/>
        <w:rPr>
          <w:rFonts w:eastAsia="Calibri"/>
        </w:rPr>
      </w:pPr>
      <w:r w:rsidRPr="00615DC8">
        <w:rPr>
          <w:rFonts w:eastAsia="Calibri"/>
        </w:rPr>
        <w:t>Purpose of the Session</w:t>
      </w:r>
    </w:p>
    <w:p w14:paraId="290126A8" w14:textId="77777777" w:rsidR="00615DC8" w:rsidRPr="00615DC8" w:rsidRDefault="00615DC8" w:rsidP="00810318">
      <w:pPr>
        <w:pStyle w:val="BodyCopy"/>
        <w:rPr>
          <w:rFonts w:eastAsia="Calibri"/>
        </w:rPr>
      </w:pPr>
      <w:r w:rsidRPr="00615DC8">
        <w:rPr>
          <w:rFonts w:eastAsia="Calibri"/>
        </w:rPr>
        <w:t>To help leaders apply ethical leadership, cultural humility, and upstander responsibility when leading diverse teams and making everyday leadership decisions, introducing the Accessibility and Inclusion Competencies Framework as a practical guide.</w:t>
      </w:r>
    </w:p>
    <w:p w14:paraId="2C34C835" w14:textId="77777777" w:rsidR="00615DC8" w:rsidRPr="00615DC8" w:rsidRDefault="00615DC8" w:rsidP="00DA39BA">
      <w:pPr>
        <w:pStyle w:val="Heading4"/>
        <w:rPr>
          <w:rFonts w:eastAsia="Calibri"/>
        </w:rPr>
      </w:pPr>
      <w:r w:rsidRPr="00615DC8">
        <w:rPr>
          <w:rFonts w:eastAsia="Calibri"/>
        </w:rPr>
        <w:t>Session Description</w:t>
      </w:r>
    </w:p>
    <w:p w14:paraId="7FF17689" w14:textId="77777777" w:rsidR="00615DC8" w:rsidRPr="00615DC8" w:rsidRDefault="00615DC8" w:rsidP="00810318">
      <w:pPr>
        <w:pStyle w:val="BodyCopy"/>
        <w:rPr>
          <w:rFonts w:eastAsia="Calibri"/>
        </w:rPr>
      </w:pPr>
      <w:r w:rsidRPr="00615DC8">
        <w:rPr>
          <w:rFonts w:eastAsia="Calibri"/>
        </w:rPr>
        <w:t>Leading across differences is where inclusive leadership becomes visible in daily work. Differences exist across identity, disability, culture, role, communication style, power, and lived experience. Leaders shape whether those differences are valued through how they design work, communicate expectations, and lead teams.</w:t>
      </w:r>
    </w:p>
    <w:p w14:paraId="6D5D6B70" w14:textId="77777777" w:rsidR="00615DC8" w:rsidRPr="00615DC8" w:rsidRDefault="00615DC8" w:rsidP="00810318">
      <w:pPr>
        <w:pStyle w:val="BodyCopy"/>
        <w:rPr>
          <w:rFonts w:eastAsia="Calibri"/>
        </w:rPr>
      </w:pPr>
      <w:r w:rsidRPr="00615DC8">
        <w:rPr>
          <w:rFonts w:eastAsia="Calibri"/>
        </w:rPr>
        <w:t xml:space="preserve">This session builds directly on Session 1 by focusing on how leaders put ethics, cultural humility, and upstander responsibility into practice across real workplace situations. Participants will explore </w:t>
      </w:r>
      <w:r w:rsidRPr="00615DC8">
        <w:rPr>
          <w:rFonts w:eastAsia="Calibri"/>
          <w:b/>
          <w:bCs/>
        </w:rPr>
        <w:t>how</w:t>
      </w:r>
      <w:r w:rsidRPr="00615DC8">
        <w:rPr>
          <w:rFonts w:eastAsia="Calibri"/>
        </w:rPr>
        <w:t xml:space="preserve"> </w:t>
      </w:r>
      <w:r w:rsidRPr="00615DC8">
        <w:rPr>
          <w:rFonts w:eastAsia="Calibri"/>
          <w:b/>
          <w:bCs/>
        </w:rPr>
        <w:t>organizational dynamics influence participation</w:t>
      </w:r>
      <w:r w:rsidRPr="00615DC8">
        <w:rPr>
          <w:rFonts w:eastAsia="Calibri"/>
        </w:rPr>
        <w:t>, including informal norms, power differences, time pressure, and “the way things are usually done.”</w:t>
      </w:r>
    </w:p>
    <w:p w14:paraId="33EFA9B0" w14:textId="77777777" w:rsidR="00615DC8" w:rsidRPr="00615DC8" w:rsidRDefault="00615DC8" w:rsidP="00810318">
      <w:pPr>
        <w:pStyle w:val="BodyCopy"/>
        <w:rPr>
          <w:rFonts w:eastAsia="Calibri"/>
        </w:rPr>
      </w:pPr>
      <w:r w:rsidRPr="00615DC8">
        <w:rPr>
          <w:rFonts w:eastAsia="Calibri"/>
        </w:rPr>
        <w:t>The session focuses on common leadership moments such as meetings, planning, feedback, decision</w:t>
      </w:r>
      <w:r w:rsidRPr="00615DC8">
        <w:rPr>
          <w:rFonts w:eastAsia="Calibri"/>
        </w:rPr>
        <w:noBreakHyphen/>
        <w:t>making, and conflict. Participants will reflect on how these moments can strengthen participation, support psychological safety, and create more inclusive team environments over time.</w:t>
      </w:r>
    </w:p>
    <w:p w14:paraId="0C4DA479" w14:textId="77777777" w:rsidR="00615DC8" w:rsidRPr="00615DC8" w:rsidRDefault="00615DC8" w:rsidP="00810318">
      <w:pPr>
        <w:pStyle w:val="BodyCopy"/>
        <w:rPr>
          <w:rFonts w:eastAsia="Calibri"/>
        </w:rPr>
      </w:pPr>
      <w:r w:rsidRPr="00615DC8">
        <w:rPr>
          <w:rFonts w:eastAsia="Calibri"/>
        </w:rPr>
        <w:t xml:space="preserve">The </w:t>
      </w:r>
      <w:r w:rsidRPr="00615DC8">
        <w:rPr>
          <w:rFonts w:eastAsia="Calibri"/>
          <w:b/>
          <w:bCs/>
        </w:rPr>
        <w:t>Accessibility and Inclusion Competencies Framework</w:t>
      </w:r>
      <w:r w:rsidRPr="00615DC8">
        <w:rPr>
          <w:rFonts w:eastAsia="Calibri"/>
        </w:rPr>
        <w:t xml:space="preserve"> is introduced as a practical leadership tool. The framework provides shared language for understanding how inclusive and accessible outcomes are created across teams, systems, and processes. It is not a checklist and not a performance rating. Instead, it helps leaders identify where barriers can show up in everyday work and how to prevent barriers earlier through better planning, communication, and shared accountability.</w:t>
      </w:r>
    </w:p>
    <w:p w14:paraId="19AB8024" w14:textId="77777777" w:rsidR="00615DC8" w:rsidRPr="00615DC8" w:rsidRDefault="00615DC8" w:rsidP="00810318">
      <w:pPr>
        <w:pStyle w:val="BodyCopy"/>
        <w:rPr>
          <w:rFonts w:eastAsia="Calibri"/>
        </w:rPr>
      </w:pPr>
      <w:r w:rsidRPr="00615DC8">
        <w:rPr>
          <w:rFonts w:eastAsia="Calibri"/>
        </w:rPr>
        <w:lastRenderedPageBreak/>
        <w:t>Accessibility is positioned as one important dimension of leading across differences, alongside other aspects of identity and lived experience.</w:t>
      </w:r>
    </w:p>
    <w:p w14:paraId="635F91CF" w14:textId="77777777" w:rsidR="00615DC8" w:rsidRPr="00615DC8" w:rsidRDefault="00615DC8" w:rsidP="00810318">
      <w:pPr>
        <w:pStyle w:val="BodyCopy"/>
        <w:rPr>
          <w:rFonts w:eastAsia="Calibri"/>
        </w:rPr>
      </w:pPr>
      <w:r w:rsidRPr="00615DC8">
        <w:rPr>
          <w:rFonts w:eastAsia="Calibri"/>
        </w:rPr>
        <w:t>Participants will apply the framework to everyday leadership situations and identify realistic actions they can take within their scope of influence.</w:t>
      </w:r>
    </w:p>
    <w:p w14:paraId="64699CE5" w14:textId="77777777" w:rsidR="00615DC8" w:rsidRPr="00615DC8" w:rsidRDefault="00615DC8" w:rsidP="00DA39BA">
      <w:pPr>
        <w:pStyle w:val="Heading4"/>
        <w:rPr>
          <w:rFonts w:eastAsia="Calibri"/>
        </w:rPr>
      </w:pPr>
      <w:r w:rsidRPr="00615DC8">
        <w:rPr>
          <w:rFonts w:eastAsia="Calibri"/>
        </w:rPr>
        <w:t>What You Will Learn and Practice</w:t>
      </w:r>
    </w:p>
    <w:p w14:paraId="42B4F035" w14:textId="77777777" w:rsidR="00615DC8" w:rsidRPr="00615DC8" w:rsidRDefault="00615DC8" w:rsidP="00810318">
      <w:pPr>
        <w:pStyle w:val="BodyCopy"/>
        <w:rPr>
          <w:rFonts w:eastAsia="Calibri"/>
        </w:rPr>
      </w:pPr>
      <w:r w:rsidRPr="00615DC8">
        <w:rPr>
          <w:rFonts w:eastAsia="Calibri"/>
        </w:rPr>
        <w:t>How to lead across differences in ways that strengthen participation and psychological safety</w:t>
      </w:r>
    </w:p>
    <w:p w14:paraId="326FF420" w14:textId="77777777" w:rsidR="00615DC8" w:rsidRPr="00615DC8" w:rsidRDefault="00615DC8" w:rsidP="00810318">
      <w:pPr>
        <w:pStyle w:val="BodyCopy"/>
        <w:rPr>
          <w:rFonts w:eastAsia="Calibri"/>
        </w:rPr>
      </w:pPr>
      <w:r w:rsidRPr="00615DC8">
        <w:rPr>
          <w:rFonts w:eastAsia="Calibri"/>
        </w:rPr>
        <w:t>How power and group dynamics influence who speaks, who is heard, and who shapes decisions</w:t>
      </w:r>
    </w:p>
    <w:p w14:paraId="0BF5456C" w14:textId="77777777" w:rsidR="00615DC8" w:rsidRPr="00615DC8" w:rsidRDefault="00615DC8" w:rsidP="00810318">
      <w:pPr>
        <w:pStyle w:val="BodyCopy"/>
        <w:rPr>
          <w:rFonts w:eastAsia="Calibri"/>
        </w:rPr>
      </w:pPr>
      <w:r w:rsidRPr="00615DC8">
        <w:rPr>
          <w:rFonts w:eastAsia="Calibri"/>
        </w:rPr>
        <w:t>How inclusive leadership shows up in everyday practices like meetings, timelines, information</w:t>
      </w:r>
      <w:r w:rsidRPr="00615DC8">
        <w:rPr>
          <w:rFonts w:eastAsia="Calibri"/>
        </w:rPr>
        <w:noBreakHyphen/>
        <w:t>sharing, and feedback</w:t>
      </w:r>
    </w:p>
    <w:p w14:paraId="5B74F2E2" w14:textId="77777777" w:rsidR="00615DC8" w:rsidRPr="00615DC8" w:rsidRDefault="00615DC8" w:rsidP="00810318">
      <w:pPr>
        <w:pStyle w:val="BodyCopy"/>
        <w:rPr>
          <w:rFonts w:eastAsia="Calibri"/>
        </w:rPr>
      </w:pPr>
      <w:r w:rsidRPr="00615DC8">
        <w:rPr>
          <w:rFonts w:eastAsia="Calibri"/>
        </w:rPr>
        <w:t>How to use the competencies framework to reflect, plan, and improve team practices over time</w:t>
      </w:r>
    </w:p>
    <w:p w14:paraId="3096C036" w14:textId="77777777" w:rsidR="00615DC8" w:rsidRPr="00615DC8" w:rsidRDefault="00615DC8" w:rsidP="00810318">
      <w:pPr>
        <w:pStyle w:val="BodyCopy"/>
        <w:rPr>
          <w:rFonts w:eastAsia="Calibri"/>
        </w:rPr>
      </w:pPr>
      <w:r w:rsidRPr="00615DC8">
        <w:rPr>
          <w:rFonts w:eastAsia="Calibri"/>
        </w:rPr>
        <w:t>How to identify one or two realistic actions to apply immediately within their role</w:t>
      </w:r>
    </w:p>
    <w:p w14:paraId="2258B7FA" w14:textId="77777777" w:rsidR="00615DC8" w:rsidRPr="00615DC8" w:rsidRDefault="00615DC8" w:rsidP="00DA39BA">
      <w:pPr>
        <w:pStyle w:val="Heading4"/>
        <w:rPr>
          <w:rFonts w:eastAsia="Calibri"/>
        </w:rPr>
      </w:pPr>
      <w:r w:rsidRPr="00615DC8">
        <w:rPr>
          <w:rFonts w:eastAsia="Calibri"/>
        </w:rPr>
        <w:t>Learning Outcomes</w:t>
      </w:r>
    </w:p>
    <w:p w14:paraId="4096BBED" w14:textId="77777777" w:rsidR="00615DC8" w:rsidRPr="00615DC8" w:rsidRDefault="00615DC8" w:rsidP="00810318">
      <w:pPr>
        <w:pStyle w:val="BodyCopy"/>
        <w:rPr>
          <w:rFonts w:eastAsia="Calibri"/>
        </w:rPr>
      </w:pPr>
      <w:r w:rsidRPr="00615DC8">
        <w:rPr>
          <w:rFonts w:eastAsia="Calibri"/>
        </w:rPr>
        <w:t>By the end of Session 2, participants will be able to:</w:t>
      </w:r>
    </w:p>
    <w:p w14:paraId="71B43F39" w14:textId="77777777" w:rsidR="00615DC8" w:rsidRPr="00615DC8" w:rsidRDefault="00615DC8" w:rsidP="00DA39BA">
      <w:pPr>
        <w:pStyle w:val="BodyCopy"/>
        <w:numPr>
          <w:ilvl w:val="0"/>
          <w:numId w:val="48"/>
        </w:numPr>
        <w:rPr>
          <w:rFonts w:eastAsia="Calibri"/>
        </w:rPr>
      </w:pPr>
      <w:r w:rsidRPr="00615DC8">
        <w:rPr>
          <w:rFonts w:eastAsia="Calibri"/>
        </w:rPr>
        <w:t>Describe what leading across differences looks like in everyday leadership practice</w:t>
      </w:r>
    </w:p>
    <w:p w14:paraId="2AEA5C87" w14:textId="77777777" w:rsidR="00615DC8" w:rsidRPr="00615DC8" w:rsidRDefault="00615DC8" w:rsidP="00DA39BA">
      <w:pPr>
        <w:pStyle w:val="BodyCopy"/>
        <w:numPr>
          <w:ilvl w:val="0"/>
          <w:numId w:val="48"/>
        </w:numPr>
        <w:rPr>
          <w:rFonts w:eastAsia="Calibri"/>
        </w:rPr>
      </w:pPr>
      <w:r w:rsidRPr="00615DC8">
        <w:rPr>
          <w:rFonts w:eastAsia="Calibri"/>
        </w:rPr>
        <w:t>Recognize how power and team dynamics influence participation and voice</w:t>
      </w:r>
    </w:p>
    <w:p w14:paraId="7BEC7364" w14:textId="77777777" w:rsidR="00615DC8" w:rsidRPr="00615DC8" w:rsidRDefault="00615DC8" w:rsidP="00DA39BA">
      <w:pPr>
        <w:pStyle w:val="BodyCopy"/>
        <w:numPr>
          <w:ilvl w:val="0"/>
          <w:numId w:val="48"/>
        </w:numPr>
        <w:rPr>
          <w:rFonts w:eastAsia="Calibri"/>
        </w:rPr>
      </w:pPr>
      <w:r w:rsidRPr="00615DC8">
        <w:rPr>
          <w:rFonts w:eastAsia="Calibri"/>
        </w:rPr>
        <w:t>Identify leadership behaviours that strengthen psychological safety and inclusion</w:t>
      </w:r>
    </w:p>
    <w:p w14:paraId="3913C70E" w14:textId="77777777" w:rsidR="00615DC8" w:rsidRPr="00615DC8" w:rsidRDefault="00615DC8" w:rsidP="00DA39BA">
      <w:pPr>
        <w:pStyle w:val="BodyCopy"/>
        <w:numPr>
          <w:ilvl w:val="0"/>
          <w:numId w:val="48"/>
        </w:numPr>
        <w:rPr>
          <w:rFonts w:eastAsia="Calibri"/>
        </w:rPr>
      </w:pPr>
      <w:r w:rsidRPr="00615DC8">
        <w:rPr>
          <w:rFonts w:eastAsia="Calibri"/>
        </w:rPr>
        <w:lastRenderedPageBreak/>
        <w:t xml:space="preserve">Use the </w:t>
      </w:r>
      <w:r w:rsidRPr="00615DC8">
        <w:rPr>
          <w:rFonts w:eastAsia="Calibri"/>
          <w:b/>
          <w:bCs/>
        </w:rPr>
        <w:t>Accessibility and Inclusion Competencies Framework</w:t>
      </w:r>
      <w:r w:rsidRPr="00615DC8">
        <w:rPr>
          <w:rFonts w:eastAsia="Calibri"/>
        </w:rPr>
        <w:t xml:space="preserve"> as a reflection and planning tool</w:t>
      </w:r>
    </w:p>
    <w:p w14:paraId="46C82426" w14:textId="77777777" w:rsidR="00615DC8" w:rsidRPr="00615DC8" w:rsidRDefault="00615DC8" w:rsidP="00810318">
      <w:pPr>
        <w:pStyle w:val="BodyCopy"/>
        <w:rPr>
          <w:rFonts w:eastAsia="Calibri"/>
        </w:rPr>
      </w:pPr>
      <w:r w:rsidRPr="00615DC8">
        <w:rPr>
          <w:rFonts w:eastAsia="Calibri"/>
        </w:rPr>
        <w:t>Apply the framework domains to practical leadership moments such as meetings, planning, communication, and decision</w:t>
      </w:r>
      <w:r w:rsidRPr="00615DC8">
        <w:rPr>
          <w:rFonts w:eastAsia="Calibri"/>
        </w:rPr>
        <w:noBreakHyphen/>
        <w:t>making</w:t>
      </w:r>
    </w:p>
    <w:p w14:paraId="071FAB43" w14:textId="77777777" w:rsidR="00615DC8" w:rsidRPr="00615DC8" w:rsidRDefault="00615DC8" w:rsidP="00810318">
      <w:pPr>
        <w:pStyle w:val="BodyCopy"/>
        <w:rPr>
          <w:rFonts w:eastAsia="Calibri"/>
        </w:rPr>
      </w:pPr>
      <w:r w:rsidRPr="00615DC8">
        <w:rPr>
          <w:rFonts w:eastAsia="Calibri"/>
        </w:rPr>
        <w:t>Identify one or two realistic actions they can take immediately within their role and scope</w:t>
      </w:r>
    </w:p>
    <w:p w14:paraId="64F9DA91" w14:textId="77777777" w:rsidR="00615DC8" w:rsidRPr="00615DC8" w:rsidRDefault="00615DC8" w:rsidP="00615DC8">
      <w:pPr>
        <w:spacing w:before="240" w:after="240" w:line="300" w:lineRule="auto"/>
        <w:rPr>
          <w:rFonts w:ascii="Arial" w:eastAsia="Calibri" w:hAnsi="Arial" w:cs="Arial"/>
          <w:spacing w:val="-5"/>
          <w:sz w:val="28"/>
          <w:szCs w:val="28"/>
        </w:rPr>
      </w:pPr>
    </w:p>
    <w:p w14:paraId="577726F3" w14:textId="0F2E837E" w:rsidR="003C66E6" w:rsidRDefault="003C66E6" w:rsidP="001003B2">
      <w:pPr>
        <w:pStyle w:val="BodyCopy"/>
        <w:ind w:left="720" w:hanging="720"/>
        <w:sectPr w:rsidR="003C66E6" w:rsidSect="00142DDD">
          <w:pgSz w:w="12240" w:h="15840"/>
          <w:pgMar w:top="1728" w:right="1440" w:bottom="1080" w:left="1440" w:header="709" w:footer="317" w:gutter="0"/>
          <w:cols w:space="708"/>
          <w:docGrid w:linePitch="360"/>
        </w:sectPr>
      </w:pPr>
    </w:p>
    <w:p w14:paraId="475791DA" w14:textId="2EFC8ABC" w:rsidR="00A62215" w:rsidRPr="001960E1" w:rsidRDefault="008F5272" w:rsidP="008F5272">
      <w:pPr>
        <w:pStyle w:val="Heading2"/>
        <w:rPr>
          <w:rFonts w:eastAsia="Calibri"/>
        </w:rPr>
      </w:pPr>
      <w:bookmarkStart w:id="58" w:name="_Toc243923443"/>
      <w:r w:rsidRPr="008F5272">
        <w:lastRenderedPageBreak/>
        <w:t>Appendix B</w:t>
      </w:r>
      <w:r w:rsidR="00776EBA">
        <w:t>.</w:t>
      </w:r>
      <w:r w:rsidRPr="008F5272">
        <w:t xml:space="preserve"> </w:t>
      </w:r>
      <w:r w:rsidR="001960E1" w:rsidRPr="00A62215">
        <w:rPr>
          <w:rFonts w:eastAsia="Calibri"/>
        </w:rPr>
        <w:t>Inclusive Leadership Foundations – Session 1</w:t>
      </w:r>
      <w:r w:rsidR="001960E1">
        <w:rPr>
          <w:rFonts w:eastAsia="Calibri"/>
        </w:rPr>
        <w:t xml:space="preserve">: </w:t>
      </w:r>
      <w:r w:rsidR="00A62215" w:rsidRPr="008F5272">
        <w:t>The Role of Ethical Leadership</w:t>
      </w:r>
      <w:bookmarkEnd w:id="58"/>
    </w:p>
    <w:p w14:paraId="13ECE2E9" w14:textId="77777777" w:rsidR="00A62215" w:rsidRPr="00A62215" w:rsidRDefault="00A62215" w:rsidP="00810318">
      <w:pPr>
        <w:pStyle w:val="BodyCopy"/>
        <w:rPr>
          <w:rFonts w:eastAsia="Calibri"/>
        </w:rPr>
        <w:sectPr w:rsidR="00A62215" w:rsidRPr="00A62215" w:rsidSect="00A62215">
          <w:headerReference w:type="first" r:id="rId40"/>
          <w:pgSz w:w="15840" w:h="12240" w:orient="landscape"/>
          <w:pgMar w:top="1440" w:right="1440" w:bottom="1440" w:left="1080" w:header="270" w:footer="720" w:gutter="0"/>
          <w:cols w:space="720"/>
          <w:titlePg/>
          <w:docGrid w:linePitch="381"/>
        </w:sectPr>
      </w:pPr>
      <w:r w:rsidRPr="00A62215">
        <w:rPr>
          <w:rFonts w:eastAsia="Calibri"/>
          <w:b/>
          <w:bCs/>
        </w:rPr>
        <w:t>Facilitator:</w:t>
      </w:r>
      <w:r w:rsidRPr="00A62215">
        <w:rPr>
          <w:rFonts w:eastAsia="Calibri"/>
        </w:rPr>
        <w:t xml:space="preserve"> Ana Sofia Barrows (she/her), Director, Accessibility and Inclusion</w:t>
      </w:r>
    </w:p>
    <w:p w14:paraId="01C9CEC1" w14:textId="77777777" w:rsidR="00A62215" w:rsidRPr="00A62215" w:rsidRDefault="00A62215" w:rsidP="00CB40B5">
      <w:pPr>
        <w:pStyle w:val="Heading3"/>
        <w:rPr>
          <w:rFonts w:eastAsia="Calibri"/>
        </w:rPr>
      </w:pPr>
      <w:bookmarkStart w:id="59" w:name="_Toc243923444"/>
      <w:r w:rsidRPr="00A62215">
        <w:rPr>
          <w:rFonts w:eastAsia="Calibri"/>
        </w:rPr>
        <w:lastRenderedPageBreak/>
        <w:t>Welcome!</w:t>
      </w:r>
      <w:bookmarkEnd w:id="59"/>
    </w:p>
    <w:p w14:paraId="360D67E1" w14:textId="77777777" w:rsidR="00A62215" w:rsidRPr="00A62215" w:rsidRDefault="00A62215" w:rsidP="00810318">
      <w:pPr>
        <w:pStyle w:val="BodyCopy"/>
        <w:rPr>
          <w:rFonts w:eastAsia="Calibri"/>
        </w:rPr>
      </w:pPr>
      <w:r w:rsidRPr="00A62215">
        <w:rPr>
          <w:rFonts w:eastAsia="Calibri"/>
        </w:rPr>
        <w:t>Today’s session is about the role of ethical leadership in building inclusive, respectful, and accountable workplaces.</w:t>
      </w:r>
    </w:p>
    <w:p w14:paraId="3B56EB32" w14:textId="77777777" w:rsidR="00A62215" w:rsidRPr="00A62215" w:rsidRDefault="00A62215" w:rsidP="00810318">
      <w:pPr>
        <w:pStyle w:val="BodyCopy"/>
        <w:rPr>
          <w:rFonts w:eastAsia="Calibri"/>
        </w:rPr>
      </w:pPr>
      <w:r w:rsidRPr="00A62215">
        <w:rPr>
          <w:rFonts w:eastAsia="Calibri"/>
        </w:rPr>
        <w:t>When we hear “ethical leadership,” it can sound very big, very formal, and very “leadership book with a navy-blue cover.” But today, we are going to keep it practical.</w:t>
      </w:r>
    </w:p>
    <w:p w14:paraId="1089C073" w14:textId="77777777" w:rsidR="00A62215" w:rsidRPr="00A62215" w:rsidRDefault="00A62215" w:rsidP="00810318">
      <w:pPr>
        <w:pStyle w:val="BodyCopy"/>
        <w:rPr>
          <w:rFonts w:eastAsia="Calibri"/>
        </w:rPr>
      </w:pPr>
      <w:r w:rsidRPr="00A62215">
        <w:rPr>
          <w:rFonts w:eastAsia="Calibri"/>
        </w:rPr>
        <w:t>We are going to talk about how leaders use power, how decisions are made, whose voices are included, and how we respond when something needs care, repair, or follow-through.</w:t>
      </w:r>
    </w:p>
    <w:p w14:paraId="0FA8A2BE" w14:textId="77777777" w:rsidR="00A62215" w:rsidRPr="00A62215" w:rsidRDefault="00A62215" w:rsidP="00810318">
      <w:pPr>
        <w:pStyle w:val="BodyCopy"/>
        <w:rPr>
          <w:rFonts w:eastAsia="Calibri"/>
        </w:rPr>
      </w:pPr>
      <w:r w:rsidRPr="00A62215">
        <w:rPr>
          <w:rFonts w:eastAsia="Calibri"/>
        </w:rPr>
        <w:t>This session is the first part of a two-part learning series. Today, we are focusing on the foundation. In Session 2, we will build on this by looking more closely at how leaders apply these ideas when leading across differences in real workplace moments.</w:t>
      </w:r>
    </w:p>
    <w:p w14:paraId="537817E2" w14:textId="77777777" w:rsidR="00A62215" w:rsidRPr="00A62215" w:rsidRDefault="00A62215" w:rsidP="00810318">
      <w:pPr>
        <w:pStyle w:val="BodyCopy"/>
        <w:rPr>
          <w:rFonts w:eastAsia="Calibri"/>
        </w:rPr>
        <w:sectPr w:rsidR="00A62215" w:rsidRPr="00A62215" w:rsidSect="00A62215">
          <w:headerReference w:type="first" r:id="rId41"/>
          <w:pgSz w:w="15840" w:h="12240" w:orient="landscape"/>
          <w:pgMar w:top="1440" w:right="1440" w:bottom="1440" w:left="1080" w:header="270" w:footer="720" w:gutter="0"/>
          <w:cols w:space="720"/>
          <w:titlePg/>
          <w:docGrid w:linePitch="381"/>
        </w:sectPr>
      </w:pPr>
    </w:p>
    <w:p w14:paraId="4139102B" w14:textId="77777777" w:rsidR="00A62215" w:rsidRPr="00A62215" w:rsidRDefault="00A62215" w:rsidP="00CB40B5">
      <w:pPr>
        <w:pStyle w:val="Heading3"/>
        <w:rPr>
          <w:rFonts w:eastAsia="Calibri"/>
        </w:rPr>
      </w:pPr>
      <w:bookmarkStart w:id="60" w:name="_Toc243923445"/>
      <w:r w:rsidRPr="00A62215">
        <w:rPr>
          <w:rFonts w:eastAsia="Calibri"/>
        </w:rPr>
        <w:lastRenderedPageBreak/>
        <w:t>How we will spend our time</w:t>
      </w:r>
      <w:bookmarkEnd w:id="60"/>
    </w:p>
    <w:p w14:paraId="452E1E02" w14:textId="77777777" w:rsidR="00A62215" w:rsidRPr="00A62215" w:rsidRDefault="00A62215" w:rsidP="00810318">
      <w:pPr>
        <w:pStyle w:val="BodyCopy"/>
        <w:rPr>
          <w:rFonts w:eastAsia="Calibri"/>
        </w:rPr>
      </w:pPr>
      <w:r w:rsidRPr="00A62215">
        <w:rPr>
          <w:rFonts w:eastAsia="Calibri"/>
        </w:rPr>
        <w:t>Here is where we are going today.</w:t>
      </w:r>
    </w:p>
    <w:p w14:paraId="15420B25" w14:textId="77777777" w:rsidR="00A62215" w:rsidRPr="00A62215" w:rsidRDefault="00A62215" w:rsidP="00810318">
      <w:pPr>
        <w:pStyle w:val="BodyCopy"/>
        <w:rPr>
          <w:rFonts w:eastAsia="Calibri"/>
        </w:rPr>
      </w:pPr>
      <w:r w:rsidRPr="00A62215">
        <w:rPr>
          <w:rFonts w:eastAsia="Calibri"/>
        </w:rPr>
        <w:t xml:space="preserve">We will start with </w:t>
      </w:r>
      <w:r w:rsidRPr="00A62215">
        <w:rPr>
          <w:rFonts w:eastAsia="Calibri"/>
          <w:b/>
          <w:bCs/>
        </w:rPr>
        <w:t>ethical leadership</w:t>
      </w:r>
      <w:r w:rsidRPr="00A62215">
        <w:rPr>
          <w:rFonts w:eastAsia="Calibri"/>
        </w:rPr>
        <w:t xml:space="preserve"> as something </w:t>
      </w:r>
      <w:r w:rsidRPr="00A62215">
        <w:rPr>
          <w:rFonts w:eastAsia="Calibri"/>
          <w:b/>
          <w:bCs/>
        </w:rPr>
        <w:t>practical</w:t>
      </w:r>
      <w:r w:rsidRPr="00A62215">
        <w:rPr>
          <w:rFonts w:eastAsia="Calibri"/>
        </w:rPr>
        <w:t xml:space="preserve"> and </w:t>
      </w:r>
      <w:r w:rsidRPr="00A62215">
        <w:rPr>
          <w:rFonts w:eastAsia="Calibri"/>
          <w:b/>
          <w:bCs/>
        </w:rPr>
        <w:t>relational</w:t>
      </w:r>
      <w:r w:rsidRPr="00A62215">
        <w:rPr>
          <w:rFonts w:eastAsia="Calibri"/>
        </w:rPr>
        <w:t xml:space="preserve">. Then we will look at </w:t>
      </w:r>
      <w:r w:rsidRPr="00A62215">
        <w:rPr>
          <w:rFonts w:eastAsia="Calibri"/>
          <w:b/>
          <w:bCs/>
        </w:rPr>
        <w:t>cultural humility</w:t>
      </w:r>
      <w:r w:rsidRPr="00A62215">
        <w:rPr>
          <w:rFonts w:eastAsia="Calibri"/>
        </w:rPr>
        <w:t xml:space="preserve"> and </w:t>
      </w:r>
      <w:r w:rsidRPr="00A62215">
        <w:rPr>
          <w:rFonts w:eastAsia="Calibri"/>
          <w:b/>
          <w:bCs/>
        </w:rPr>
        <w:t>positionality</w:t>
      </w:r>
      <w:r w:rsidRPr="00A62215">
        <w:rPr>
          <w:rFonts w:eastAsia="Calibri"/>
        </w:rPr>
        <w:t>, because inclusive leadership starts with how we understand ourselves in relation to others.</w:t>
      </w:r>
    </w:p>
    <w:p w14:paraId="21B24ACF" w14:textId="77777777" w:rsidR="00A62215" w:rsidRPr="00A62215" w:rsidRDefault="00A62215" w:rsidP="00810318">
      <w:pPr>
        <w:pStyle w:val="BodyCopy"/>
        <w:rPr>
          <w:rFonts w:eastAsia="Calibri"/>
        </w:rPr>
      </w:pPr>
      <w:r w:rsidRPr="00A62215">
        <w:rPr>
          <w:rFonts w:eastAsia="Calibri"/>
        </w:rPr>
        <w:t xml:space="preserve">We will then move into </w:t>
      </w:r>
      <w:r w:rsidRPr="00A62215">
        <w:rPr>
          <w:rFonts w:eastAsia="Calibri"/>
          <w:b/>
          <w:bCs/>
        </w:rPr>
        <w:t>co-design</w:t>
      </w:r>
      <w:r w:rsidRPr="00A62215">
        <w:rPr>
          <w:rFonts w:eastAsia="Calibri"/>
        </w:rPr>
        <w:t xml:space="preserve"> and </w:t>
      </w:r>
      <w:r w:rsidRPr="00A62215">
        <w:rPr>
          <w:rFonts w:eastAsia="Calibri"/>
          <w:b/>
          <w:bCs/>
        </w:rPr>
        <w:t>participation</w:t>
      </w:r>
      <w:r w:rsidRPr="00A62215">
        <w:rPr>
          <w:rFonts w:eastAsia="Calibri"/>
        </w:rPr>
        <w:t>. This is where we ask: when decisions affect people, how are those people meaningfully included?</w:t>
      </w:r>
    </w:p>
    <w:p w14:paraId="4FEC9BCC" w14:textId="77777777" w:rsidR="00A62215" w:rsidRPr="00A62215" w:rsidRDefault="00A62215" w:rsidP="00810318">
      <w:pPr>
        <w:pStyle w:val="BodyCopy"/>
        <w:rPr>
          <w:rFonts w:eastAsia="Calibri"/>
        </w:rPr>
      </w:pPr>
      <w:r w:rsidRPr="00A62215">
        <w:rPr>
          <w:rFonts w:eastAsia="Calibri"/>
        </w:rPr>
        <w:t xml:space="preserve">After that, we will talk about </w:t>
      </w:r>
      <w:r w:rsidRPr="00A62215">
        <w:rPr>
          <w:rFonts w:eastAsia="Calibri"/>
          <w:b/>
          <w:bCs/>
        </w:rPr>
        <w:t>accountability</w:t>
      </w:r>
      <w:r w:rsidRPr="00A62215">
        <w:rPr>
          <w:rFonts w:eastAsia="Calibri"/>
        </w:rPr>
        <w:t>. Not accountability as blame, but accountability as follow-through, repair, and responsibility.</w:t>
      </w:r>
    </w:p>
    <w:p w14:paraId="4321CE94" w14:textId="77777777" w:rsidR="00A62215" w:rsidRPr="00A62215" w:rsidRDefault="00A62215" w:rsidP="00810318">
      <w:pPr>
        <w:pStyle w:val="BodyCopy"/>
        <w:rPr>
          <w:rFonts w:eastAsia="Calibri"/>
        </w:rPr>
      </w:pPr>
      <w:r w:rsidRPr="00A62215">
        <w:rPr>
          <w:rFonts w:eastAsia="Calibri"/>
        </w:rPr>
        <w:t xml:space="preserve">We will also look at </w:t>
      </w:r>
      <w:r w:rsidRPr="00A62215">
        <w:rPr>
          <w:rFonts w:eastAsia="Calibri"/>
          <w:b/>
          <w:bCs/>
        </w:rPr>
        <w:t>bystander and upstander</w:t>
      </w:r>
      <w:r w:rsidRPr="00A62215">
        <w:rPr>
          <w:rFonts w:eastAsia="Calibri"/>
        </w:rPr>
        <w:t xml:space="preserve"> intervention, because leaders are not neutral observers of workplace culture. What leaders notice, ignore, interrupt, or repair sends a message.</w:t>
      </w:r>
    </w:p>
    <w:p w14:paraId="02FEEC12" w14:textId="77777777" w:rsidR="00A62215" w:rsidRPr="00A62215" w:rsidRDefault="00A62215" w:rsidP="00810318">
      <w:pPr>
        <w:pStyle w:val="BodyCopy"/>
        <w:rPr>
          <w:rFonts w:eastAsia="Calibri"/>
        </w:rPr>
      </w:pPr>
      <w:r w:rsidRPr="00A62215">
        <w:rPr>
          <w:rFonts w:eastAsia="Calibri"/>
        </w:rPr>
        <w:t>We will leave time at the end for questions!</w:t>
      </w:r>
    </w:p>
    <w:p w14:paraId="0C4B6A15" w14:textId="77777777" w:rsidR="00DA39BA" w:rsidRDefault="00DA39BA">
      <w:pPr>
        <w:rPr>
          <w:rFonts w:ascii="Arial Black" w:eastAsia="Calibri" w:hAnsi="Arial Black" w:cs="Arial"/>
          <w:b/>
          <w:color w:val="000000"/>
          <w:sz w:val="56"/>
          <w:szCs w:val="56"/>
        </w:rPr>
      </w:pPr>
      <w:r>
        <w:rPr>
          <w:rFonts w:ascii="Arial Black" w:eastAsia="Calibri" w:hAnsi="Arial Black"/>
          <w:b/>
          <w:sz w:val="56"/>
          <w:szCs w:val="56"/>
        </w:rPr>
        <w:br w:type="page"/>
      </w:r>
    </w:p>
    <w:p w14:paraId="08B31C06" w14:textId="6B64923F" w:rsidR="00A62215" w:rsidRPr="00A62215" w:rsidRDefault="00A62215" w:rsidP="00CB40B5">
      <w:pPr>
        <w:pStyle w:val="Heading3"/>
        <w:rPr>
          <w:rFonts w:eastAsia="Calibri"/>
        </w:rPr>
      </w:pPr>
      <w:bookmarkStart w:id="61" w:name="_Toc243923446"/>
      <w:r w:rsidRPr="00A62215">
        <w:rPr>
          <w:rFonts w:eastAsia="Calibri"/>
        </w:rPr>
        <w:lastRenderedPageBreak/>
        <w:t>Learning outcomes</w:t>
      </w:r>
      <w:bookmarkEnd w:id="61"/>
    </w:p>
    <w:p w14:paraId="5A46CF79" w14:textId="77777777" w:rsidR="00A62215" w:rsidRPr="00A62215" w:rsidRDefault="00A62215" w:rsidP="00810318">
      <w:pPr>
        <w:pStyle w:val="BodyCopy"/>
        <w:rPr>
          <w:rFonts w:eastAsia="Calibri"/>
        </w:rPr>
      </w:pPr>
      <w:r w:rsidRPr="00A62215">
        <w:rPr>
          <w:rFonts w:eastAsia="Calibri"/>
        </w:rPr>
        <w:t>By the end of this session, the goal is not for everyone to become perfect inclusion leaders. That is not a real thing. If anyone claims to be a perfect inclusion leader, please check for hidden smoke machines.</w:t>
      </w:r>
    </w:p>
    <w:p w14:paraId="699235C1" w14:textId="77777777" w:rsidR="00A62215" w:rsidRPr="00A62215" w:rsidRDefault="00A62215" w:rsidP="00810318">
      <w:pPr>
        <w:pStyle w:val="BodyCopy"/>
        <w:rPr>
          <w:rFonts w:eastAsia="Calibri"/>
        </w:rPr>
      </w:pPr>
      <w:r w:rsidRPr="00A62215">
        <w:rPr>
          <w:rFonts w:eastAsia="Calibri"/>
        </w:rPr>
        <w:t>The goal is more useful than perfection.</w:t>
      </w:r>
    </w:p>
    <w:p w14:paraId="292511BE" w14:textId="77777777" w:rsidR="00A62215" w:rsidRPr="00A62215" w:rsidRDefault="00A62215" w:rsidP="00810318">
      <w:pPr>
        <w:pStyle w:val="BodyCopy"/>
        <w:rPr>
          <w:rFonts w:eastAsia="Calibri"/>
        </w:rPr>
      </w:pPr>
      <w:r w:rsidRPr="00A62215">
        <w:rPr>
          <w:rFonts w:eastAsia="Calibri"/>
        </w:rPr>
        <w:t>We want to build shared language. We want to recognize how ethics shows up in daily decisions. We want to understand cultural humility as a leadership stance. We want to distinguish between asking for input and actually creating influence.</w:t>
      </w:r>
    </w:p>
    <w:p w14:paraId="0E267DB1" w14:textId="77777777" w:rsidR="00A62215" w:rsidRPr="00A62215" w:rsidRDefault="00A62215" w:rsidP="00810318">
      <w:pPr>
        <w:pStyle w:val="BodyCopy"/>
        <w:rPr>
          <w:rFonts w:eastAsia="Calibri"/>
        </w:rPr>
      </w:pPr>
      <w:r w:rsidRPr="00A62215">
        <w:rPr>
          <w:rFonts w:eastAsia="Calibri"/>
        </w:rPr>
        <w:t>And we want to leave with practical ways to respond when something happens in the workplace that affects inclusion, trust, or participation.</w:t>
      </w:r>
    </w:p>
    <w:p w14:paraId="75B0B6B4" w14:textId="77777777" w:rsidR="00A62215" w:rsidRPr="00A62215" w:rsidRDefault="00A62215" w:rsidP="00810318">
      <w:pPr>
        <w:pStyle w:val="BodyCopy"/>
        <w:rPr>
          <w:rFonts w:eastAsia="Calibri"/>
        </w:rPr>
        <w:sectPr w:rsidR="00A62215" w:rsidRPr="00A62215" w:rsidSect="00A62215">
          <w:pgSz w:w="15840" w:h="12240" w:orient="landscape"/>
          <w:pgMar w:top="1440" w:right="1440" w:bottom="1440" w:left="1080" w:header="270" w:footer="720" w:gutter="0"/>
          <w:cols w:space="720"/>
          <w:titlePg/>
          <w:docGrid w:linePitch="381"/>
        </w:sectPr>
      </w:pPr>
    </w:p>
    <w:p w14:paraId="175E1B91" w14:textId="77777777" w:rsidR="00A62215" w:rsidRPr="00A62215" w:rsidRDefault="00A62215" w:rsidP="00CB40B5">
      <w:pPr>
        <w:pStyle w:val="Heading3"/>
        <w:rPr>
          <w:rFonts w:eastAsia="Calibri"/>
        </w:rPr>
      </w:pPr>
      <w:bookmarkStart w:id="62" w:name="_Toc243923447"/>
      <w:r w:rsidRPr="00A62215">
        <w:rPr>
          <w:rFonts w:eastAsia="Calibri"/>
        </w:rPr>
        <w:lastRenderedPageBreak/>
        <w:t>Ethical leadership</w:t>
      </w:r>
      <w:bookmarkEnd w:id="62"/>
      <w:r w:rsidRPr="00A62215">
        <w:rPr>
          <w:rFonts w:eastAsia="Calibri"/>
        </w:rPr>
        <w:t xml:space="preserve"> </w:t>
      </w:r>
    </w:p>
    <w:p w14:paraId="10544D0A" w14:textId="77777777" w:rsidR="00A62215" w:rsidRPr="00A62215" w:rsidRDefault="00A62215" w:rsidP="00810318">
      <w:pPr>
        <w:pStyle w:val="BodyCopy"/>
        <w:rPr>
          <w:rFonts w:eastAsia="Calibri"/>
        </w:rPr>
      </w:pPr>
      <w:r w:rsidRPr="00A62215">
        <w:rPr>
          <w:rFonts w:eastAsia="Calibri"/>
        </w:rPr>
        <w:t>A helpful starting point is this: ethical leadership is not only about being a good person.</w:t>
      </w:r>
    </w:p>
    <w:p w14:paraId="0D1C376D" w14:textId="77777777" w:rsidR="00A62215" w:rsidRPr="00A62215" w:rsidRDefault="00A62215" w:rsidP="00810318">
      <w:pPr>
        <w:pStyle w:val="BodyCopy"/>
        <w:rPr>
          <w:rFonts w:eastAsia="Calibri"/>
        </w:rPr>
      </w:pPr>
      <w:r w:rsidRPr="00A62215">
        <w:rPr>
          <w:rFonts w:eastAsia="Calibri"/>
        </w:rPr>
        <w:t>Good intentions matter. Values matter. Character matters. But ethical leadership becomes visible through action.</w:t>
      </w:r>
    </w:p>
    <w:p w14:paraId="0E870C52" w14:textId="77777777" w:rsidR="00A62215" w:rsidRPr="00A62215" w:rsidRDefault="00A62215" w:rsidP="00810318">
      <w:pPr>
        <w:pStyle w:val="BodyCopy"/>
        <w:rPr>
          <w:rFonts w:eastAsia="Calibri"/>
        </w:rPr>
      </w:pPr>
      <w:r w:rsidRPr="00A62215">
        <w:rPr>
          <w:rFonts w:eastAsia="Calibri"/>
        </w:rPr>
        <w:t xml:space="preserve">It shows up in </w:t>
      </w:r>
      <w:r w:rsidRPr="00A62215">
        <w:rPr>
          <w:rFonts w:eastAsia="Calibri"/>
          <w:b/>
          <w:bCs/>
        </w:rPr>
        <w:t>how we use power</w:t>
      </w:r>
      <w:r w:rsidRPr="00A62215">
        <w:rPr>
          <w:rFonts w:eastAsia="Calibri"/>
        </w:rPr>
        <w:t xml:space="preserve">. It shows up in </w:t>
      </w:r>
      <w:r w:rsidRPr="00A62215">
        <w:rPr>
          <w:rFonts w:eastAsia="Calibri"/>
          <w:b/>
          <w:bCs/>
        </w:rPr>
        <w:t>how decisions are made</w:t>
      </w:r>
      <w:r w:rsidRPr="00A62215">
        <w:rPr>
          <w:rFonts w:eastAsia="Calibri"/>
        </w:rPr>
        <w:t xml:space="preserve">. It shows up in whether </w:t>
      </w:r>
      <w:r w:rsidRPr="00A62215">
        <w:rPr>
          <w:rFonts w:eastAsia="Calibri"/>
          <w:b/>
          <w:bCs/>
        </w:rPr>
        <w:t>people affected</w:t>
      </w:r>
      <w:r w:rsidRPr="00A62215">
        <w:rPr>
          <w:rFonts w:eastAsia="Calibri"/>
        </w:rPr>
        <w:t xml:space="preserve"> by a decision have meaningful opportunities to </w:t>
      </w:r>
      <w:r w:rsidRPr="00A62215">
        <w:rPr>
          <w:rFonts w:eastAsia="Calibri"/>
          <w:b/>
          <w:bCs/>
        </w:rPr>
        <w:t>shape that decision</w:t>
      </w:r>
      <w:r w:rsidRPr="00A62215">
        <w:rPr>
          <w:rFonts w:eastAsia="Calibri"/>
        </w:rPr>
        <w:t>.</w:t>
      </w:r>
    </w:p>
    <w:p w14:paraId="6DF05059" w14:textId="77777777" w:rsidR="00A62215" w:rsidRPr="00A62215" w:rsidRDefault="00A62215" w:rsidP="00810318">
      <w:pPr>
        <w:pStyle w:val="BodyCopy"/>
        <w:rPr>
          <w:rFonts w:eastAsia="Calibri"/>
        </w:rPr>
      </w:pPr>
      <w:r w:rsidRPr="00A62215">
        <w:rPr>
          <w:rFonts w:eastAsia="Calibri"/>
        </w:rPr>
        <w:t>It also shows up after feedback. When someone tells us a process did not work for them, or that a decision created a barrier, or that something had an unintended impact, ethical leadership is what we do next.</w:t>
      </w:r>
    </w:p>
    <w:p w14:paraId="374746C4" w14:textId="77777777" w:rsidR="00A62215" w:rsidRPr="00A62215" w:rsidRDefault="00A62215" w:rsidP="00810318">
      <w:pPr>
        <w:pStyle w:val="BodyCopy"/>
        <w:rPr>
          <w:rFonts w:eastAsia="Calibri"/>
        </w:rPr>
      </w:pPr>
      <w:r w:rsidRPr="00A62215">
        <w:rPr>
          <w:rFonts w:eastAsia="Calibri"/>
        </w:rPr>
        <w:t>Do we get defensive? Do we avoid it? Do we explain the intent until everyone ages three years? Or do we listen, clarify, take responsibility, and make a change where we can?</w:t>
      </w:r>
    </w:p>
    <w:p w14:paraId="37B147C1" w14:textId="77777777" w:rsidR="00DA39BA" w:rsidRDefault="00DA39BA">
      <w:pPr>
        <w:rPr>
          <w:rFonts w:ascii="Arial Black" w:eastAsia="Calibri" w:hAnsi="Arial Black" w:cs="Arial"/>
          <w:b/>
          <w:color w:val="000000"/>
          <w:sz w:val="56"/>
          <w:szCs w:val="56"/>
        </w:rPr>
      </w:pPr>
      <w:r>
        <w:rPr>
          <w:rFonts w:ascii="Arial Black" w:eastAsia="Calibri" w:hAnsi="Arial Black"/>
          <w:b/>
          <w:sz w:val="56"/>
          <w:szCs w:val="56"/>
        </w:rPr>
        <w:br w:type="page"/>
      </w:r>
    </w:p>
    <w:p w14:paraId="44729E5A" w14:textId="44317062" w:rsidR="00A62215" w:rsidRPr="00A62215" w:rsidRDefault="00A62215" w:rsidP="00CB40B5">
      <w:pPr>
        <w:pStyle w:val="Heading3"/>
        <w:rPr>
          <w:rFonts w:eastAsia="Calibri"/>
        </w:rPr>
      </w:pPr>
      <w:bookmarkStart w:id="63" w:name="_Toc243923448"/>
      <w:r w:rsidRPr="00A62215">
        <w:rPr>
          <w:rFonts w:eastAsia="Calibri"/>
        </w:rPr>
        <w:lastRenderedPageBreak/>
        <w:t>Leadership is relational</w:t>
      </w:r>
      <w:bookmarkEnd w:id="63"/>
    </w:p>
    <w:p w14:paraId="7C31B1AB" w14:textId="77777777" w:rsidR="00A62215" w:rsidRPr="00A62215" w:rsidRDefault="00A62215" w:rsidP="00810318">
      <w:pPr>
        <w:pStyle w:val="BodyCopy"/>
        <w:rPr>
          <w:rFonts w:eastAsia="Calibri"/>
        </w:rPr>
      </w:pPr>
      <w:r w:rsidRPr="00A62215">
        <w:rPr>
          <w:rFonts w:eastAsia="Calibri"/>
        </w:rPr>
        <w:t>Leadership happens through relationships. Even when a leader is making a decision alone, the impact of that decision is not isolated. It affects people, workflows, expectations, trust, access, and sometimes even people’s sense of belonging.</w:t>
      </w:r>
    </w:p>
    <w:p w14:paraId="1979D832" w14:textId="77777777" w:rsidR="00A62215" w:rsidRPr="00A62215" w:rsidRDefault="00A62215" w:rsidP="00810318">
      <w:pPr>
        <w:pStyle w:val="BodyCopy"/>
        <w:rPr>
          <w:rFonts w:eastAsia="Calibri"/>
          <w:b/>
          <w:bCs/>
        </w:rPr>
      </w:pPr>
      <w:r w:rsidRPr="00A62215">
        <w:rPr>
          <w:rFonts w:eastAsia="Calibri"/>
        </w:rPr>
        <w:t xml:space="preserve">So, one of the core questions of ethical leadership is: </w:t>
      </w:r>
      <w:r w:rsidRPr="00A62215">
        <w:rPr>
          <w:rFonts w:eastAsia="Calibri"/>
          <w:b/>
          <w:bCs/>
        </w:rPr>
        <w:t>what is my responsibility within this relationship?</w:t>
      </w:r>
    </w:p>
    <w:p w14:paraId="7267BF5E" w14:textId="77777777" w:rsidR="00A62215" w:rsidRPr="00A62215" w:rsidRDefault="00A62215" w:rsidP="00810318">
      <w:pPr>
        <w:pStyle w:val="BodyCopy"/>
        <w:rPr>
          <w:rFonts w:eastAsia="Calibri"/>
          <w:b/>
          <w:bCs/>
        </w:rPr>
      </w:pPr>
      <w:r w:rsidRPr="00A62215">
        <w:rPr>
          <w:rFonts w:eastAsia="Calibri"/>
        </w:rPr>
        <w:t xml:space="preserve">That question matters because leadership is not just a role. It is a </w:t>
      </w:r>
      <w:r w:rsidRPr="00A62215">
        <w:rPr>
          <w:rFonts w:eastAsia="Calibri"/>
          <w:b/>
          <w:bCs/>
        </w:rPr>
        <w:t>set of relationships shaped by power.</w:t>
      </w:r>
    </w:p>
    <w:p w14:paraId="112564C0" w14:textId="77777777" w:rsidR="00A62215" w:rsidRPr="00A62215" w:rsidRDefault="00A62215" w:rsidP="00810318">
      <w:pPr>
        <w:pStyle w:val="BodyCopy"/>
        <w:rPr>
          <w:rFonts w:eastAsia="Calibri"/>
        </w:rPr>
      </w:pPr>
      <w:r w:rsidRPr="00A62215">
        <w:rPr>
          <w:rFonts w:eastAsia="Calibri"/>
        </w:rPr>
        <w:t>Sometimes that power is formal, like being someone’s manager. Sometimes it is informal, like being the person whose voice carries weight in a room. Sometimes it comes from experience, seniority, expertise, access to information, or simply being closer to decision-making.</w:t>
      </w:r>
    </w:p>
    <w:p w14:paraId="6296C6EE" w14:textId="77777777" w:rsidR="00A62215" w:rsidRPr="00A62215" w:rsidRDefault="00A62215" w:rsidP="00810318">
      <w:pPr>
        <w:pStyle w:val="BodyCopy"/>
        <w:rPr>
          <w:rFonts w:eastAsia="Calibri"/>
        </w:rPr>
        <w:sectPr w:rsidR="00A62215" w:rsidRPr="00A62215" w:rsidSect="00A62215">
          <w:pgSz w:w="15840" w:h="12240" w:orient="landscape"/>
          <w:pgMar w:top="1440" w:right="1440" w:bottom="1440" w:left="1080" w:header="270" w:footer="720" w:gutter="0"/>
          <w:cols w:space="720"/>
          <w:titlePg/>
          <w:docGrid w:linePitch="381"/>
        </w:sectPr>
      </w:pPr>
      <w:r w:rsidRPr="00A62215">
        <w:rPr>
          <w:rFonts w:eastAsia="Calibri"/>
        </w:rPr>
        <w:t>Ethical leadership starts when we become more honest about that power.</w:t>
      </w:r>
    </w:p>
    <w:p w14:paraId="4D5A869B" w14:textId="77777777" w:rsidR="00A62215" w:rsidRPr="00A62215" w:rsidRDefault="00A62215" w:rsidP="00CB40B5">
      <w:pPr>
        <w:pStyle w:val="Heading3"/>
        <w:rPr>
          <w:rFonts w:eastAsia="Calibri"/>
        </w:rPr>
      </w:pPr>
      <w:bookmarkStart w:id="64" w:name="_Toc243923449"/>
      <w:r w:rsidRPr="00A62215">
        <w:rPr>
          <w:rFonts w:eastAsia="Calibri"/>
        </w:rPr>
        <w:lastRenderedPageBreak/>
        <w:t>Cultural humility as a leadership stance</w:t>
      </w:r>
      <w:bookmarkEnd w:id="64"/>
    </w:p>
    <w:p w14:paraId="24EAC299" w14:textId="77777777" w:rsidR="00A62215" w:rsidRPr="00A62215" w:rsidRDefault="00A62215" w:rsidP="00810318">
      <w:pPr>
        <w:pStyle w:val="BodyCopy"/>
        <w:rPr>
          <w:rFonts w:eastAsia="Calibri"/>
        </w:rPr>
      </w:pPr>
      <w:r w:rsidRPr="00A62215">
        <w:rPr>
          <w:rFonts w:eastAsia="Calibri"/>
        </w:rPr>
        <w:t>Cultural humility is central to today’s session.</w:t>
      </w:r>
    </w:p>
    <w:p w14:paraId="5D383CB3" w14:textId="77777777" w:rsidR="00A62215" w:rsidRPr="00A62215" w:rsidRDefault="00A62215" w:rsidP="00810318">
      <w:pPr>
        <w:pStyle w:val="BodyCopy"/>
        <w:rPr>
          <w:rFonts w:eastAsia="Calibri"/>
        </w:rPr>
      </w:pPr>
      <w:r w:rsidRPr="00A62215">
        <w:rPr>
          <w:rFonts w:eastAsia="Calibri"/>
        </w:rPr>
        <w:t>Sometimes people think inclusion work means learning enough about other people that we can become “competent” in every identity, culture, experience, disability, background, or communication style.</w:t>
      </w:r>
    </w:p>
    <w:p w14:paraId="517D860E" w14:textId="77777777" w:rsidR="00A62215" w:rsidRPr="00A62215" w:rsidRDefault="00A62215" w:rsidP="00810318">
      <w:pPr>
        <w:pStyle w:val="BodyCopy"/>
        <w:rPr>
          <w:rFonts w:eastAsia="Calibri"/>
        </w:rPr>
      </w:pPr>
      <w:r w:rsidRPr="00A62215">
        <w:rPr>
          <w:rFonts w:eastAsia="Calibri"/>
        </w:rPr>
        <w:t>That is not how humans work. We are not software updates, and there is no final download or update.</w:t>
      </w:r>
    </w:p>
    <w:p w14:paraId="578C978F" w14:textId="77777777" w:rsidR="00A62215" w:rsidRPr="00A62215" w:rsidRDefault="00A62215" w:rsidP="00810318">
      <w:pPr>
        <w:pStyle w:val="BodyCopy"/>
        <w:rPr>
          <w:rFonts w:eastAsia="Calibri"/>
        </w:rPr>
      </w:pPr>
      <w:r w:rsidRPr="00A62215">
        <w:rPr>
          <w:rFonts w:eastAsia="Calibri"/>
        </w:rPr>
        <w:t>Cultural humility is different. It is not about mastering someone else’s experience. It is about taking a stance of ongoing learning, self-reflection, respect, and openness.</w:t>
      </w:r>
    </w:p>
    <w:p w14:paraId="479F25EF" w14:textId="77777777" w:rsidR="00A62215" w:rsidRPr="00A62215" w:rsidRDefault="00A62215" w:rsidP="00810318">
      <w:pPr>
        <w:pStyle w:val="BodyCopy"/>
        <w:rPr>
          <w:rFonts w:eastAsia="Calibri"/>
        </w:rPr>
      </w:pPr>
      <w:r w:rsidRPr="00A62215">
        <w:rPr>
          <w:rFonts w:eastAsia="Calibri"/>
        </w:rPr>
        <w:t>It asks us to recognize the limits of what we know. It asks us to be aware of power. It asks us to listen without assuming we already understand.</w:t>
      </w:r>
    </w:p>
    <w:p w14:paraId="3F7F2BA0" w14:textId="77777777" w:rsidR="00A62215" w:rsidRPr="00A62215" w:rsidRDefault="00A62215" w:rsidP="00810318">
      <w:pPr>
        <w:pStyle w:val="BodyCopy"/>
        <w:rPr>
          <w:rFonts w:eastAsia="Calibri"/>
        </w:rPr>
      </w:pPr>
      <w:r w:rsidRPr="00A62215">
        <w:rPr>
          <w:rFonts w:eastAsia="Calibri"/>
        </w:rPr>
        <w:t>For leaders, cultural humility means we do not treat our own perspective as the default setting for everyone else’s reality.</w:t>
      </w:r>
    </w:p>
    <w:p w14:paraId="3E3B14B7" w14:textId="77777777" w:rsidR="00DA39BA" w:rsidRDefault="00DA39BA">
      <w:pPr>
        <w:rPr>
          <w:rFonts w:ascii="Arial Black" w:eastAsia="Calibri" w:hAnsi="Arial Black" w:cs="Arial"/>
          <w:b/>
          <w:color w:val="000000"/>
          <w:sz w:val="56"/>
          <w:szCs w:val="56"/>
        </w:rPr>
      </w:pPr>
      <w:r>
        <w:rPr>
          <w:rFonts w:ascii="Arial Black" w:eastAsia="Calibri" w:hAnsi="Arial Black"/>
          <w:b/>
          <w:sz w:val="56"/>
          <w:szCs w:val="56"/>
        </w:rPr>
        <w:br w:type="page"/>
      </w:r>
    </w:p>
    <w:p w14:paraId="0CB95EE3" w14:textId="271A7D06" w:rsidR="00A62215" w:rsidRPr="00A62215" w:rsidRDefault="00A62215" w:rsidP="00CB40B5">
      <w:pPr>
        <w:pStyle w:val="Heading3"/>
        <w:rPr>
          <w:rFonts w:eastAsia="Calibri"/>
        </w:rPr>
      </w:pPr>
      <w:bookmarkStart w:id="65" w:name="_Toc243923450"/>
      <w:r w:rsidRPr="00A62215">
        <w:rPr>
          <w:rFonts w:eastAsia="Calibri"/>
        </w:rPr>
        <w:lastRenderedPageBreak/>
        <w:t>Cultural humility in leadership decisions</w:t>
      </w:r>
      <w:bookmarkEnd w:id="65"/>
    </w:p>
    <w:p w14:paraId="3E79E210" w14:textId="77777777" w:rsidR="00A62215" w:rsidRPr="00A62215" w:rsidRDefault="00A62215" w:rsidP="00810318">
      <w:pPr>
        <w:pStyle w:val="BodyCopy"/>
        <w:rPr>
          <w:rFonts w:eastAsia="Calibri"/>
        </w:rPr>
      </w:pPr>
      <w:r w:rsidRPr="00A62215">
        <w:rPr>
          <w:rFonts w:eastAsia="Calibri"/>
        </w:rPr>
        <w:t>Cultural humility becomes especially important when leaders make decisions.</w:t>
      </w:r>
    </w:p>
    <w:p w14:paraId="64E2511C" w14:textId="77777777" w:rsidR="00A62215" w:rsidRPr="00A62215" w:rsidRDefault="00A62215" w:rsidP="00810318">
      <w:pPr>
        <w:pStyle w:val="BodyCopy"/>
        <w:rPr>
          <w:rFonts w:eastAsia="Calibri"/>
          <w:b/>
          <w:bCs/>
        </w:rPr>
      </w:pPr>
      <w:r w:rsidRPr="00A62215">
        <w:rPr>
          <w:rFonts w:eastAsia="Calibri"/>
        </w:rPr>
        <w:t xml:space="preserve">A culturally humble leader asks: </w:t>
      </w:r>
      <w:r w:rsidRPr="00A62215">
        <w:rPr>
          <w:rFonts w:eastAsia="Calibri"/>
          <w:b/>
          <w:bCs/>
        </w:rPr>
        <w:t>whose experience am I treating as normal?</w:t>
      </w:r>
    </w:p>
    <w:p w14:paraId="594E7C15" w14:textId="77777777" w:rsidR="00A62215" w:rsidRPr="00A62215" w:rsidRDefault="00A62215" w:rsidP="00810318">
      <w:pPr>
        <w:pStyle w:val="BodyCopy"/>
        <w:rPr>
          <w:rFonts w:eastAsia="Calibri"/>
        </w:rPr>
      </w:pPr>
      <w:r w:rsidRPr="00A62215">
        <w:rPr>
          <w:rFonts w:eastAsia="Calibri"/>
        </w:rPr>
        <w:t>That question is simple, but it can reveal a lot. Many workplace practices are built around assumptions about how people communicate, process information, attend meetings, manage time, disclose needs, respond to conflict, or navigate authority.</w:t>
      </w:r>
    </w:p>
    <w:p w14:paraId="32FB1476" w14:textId="77777777" w:rsidR="00A62215" w:rsidRPr="00A62215" w:rsidRDefault="00A62215" w:rsidP="00810318">
      <w:pPr>
        <w:pStyle w:val="BodyCopy"/>
        <w:rPr>
          <w:rFonts w:eastAsia="Calibri"/>
        </w:rPr>
      </w:pPr>
      <w:r w:rsidRPr="00A62215">
        <w:rPr>
          <w:rFonts w:eastAsia="Calibri"/>
        </w:rPr>
        <w:t>When those assumptions are invisible, they become the default. And when something becomes the default, people who do not fit it may be seen as the exception, the complication, or the problem.</w:t>
      </w:r>
    </w:p>
    <w:p w14:paraId="654CBCBF" w14:textId="77777777" w:rsidR="00A62215" w:rsidRPr="00A62215" w:rsidRDefault="00A62215" w:rsidP="00810318">
      <w:pPr>
        <w:pStyle w:val="BodyCopy"/>
        <w:rPr>
          <w:rFonts w:eastAsia="Calibri"/>
        </w:rPr>
      </w:pPr>
      <w:r w:rsidRPr="00A62215">
        <w:rPr>
          <w:rFonts w:eastAsia="Calibri"/>
        </w:rPr>
        <w:t>Cultural humility helps us slow down and ask better questions.</w:t>
      </w:r>
    </w:p>
    <w:p w14:paraId="4BF1C8F9" w14:textId="77777777" w:rsidR="00A62215" w:rsidRPr="00A62215" w:rsidRDefault="00A62215" w:rsidP="00810318">
      <w:pPr>
        <w:pStyle w:val="BodyCopy"/>
        <w:rPr>
          <w:rFonts w:eastAsia="Calibri"/>
        </w:rPr>
        <w:sectPr w:rsidR="00A62215" w:rsidRPr="00A62215" w:rsidSect="00A62215">
          <w:pgSz w:w="15840" w:h="12240" w:orient="landscape"/>
          <w:pgMar w:top="1440" w:right="1440" w:bottom="1440" w:left="1080" w:header="270" w:footer="720" w:gutter="0"/>
          <w:cols w:space="720"/>
          <w:titlePg/>
          <w:docGrid w:linePitch="381"/>
        </w:sectPr>
      </w:pPr>
      <w:r w:rsidRPr="00A62215">
        <w:rPr>
          <w:rFonts w:eastAsia="Calibri"/>
        </w:rPr>
        <w:t>Whose knowledge am I relying on? Whose feedback am I discounting? Who might experience this differently? What would change if I treated lived experience as expertise, not as an afterthought?</w:t>
      </w:r>
    </w:p>
    <w:p w14:paraId="15B7CD47" w14:textId="77777777" w:rsidR="00A62215" w:rsidRPr="00A62215" w:rsidRDefault="00A62215" w:rsidP="00CB40B5">
      <w:pPr>
        <w:pStyle w:val="Heading3"/>
        <w:rPr>
          <w:rFonts w:eastAsia="Calibri"/>
        </w:rPr>
      </w:pPr>
      <w:bookmarkStart w:id="66" w:name="_Toc243923451"/>
      <w:r w:rsidRPr="00A62215">
        <w:rPr>
          <w:rFonts w:eastAsia="Calibri"/>
        </w:rPr>
        <w:lastRenderedPageBreak/>
        <w:t>Positionality</w:t>
      </w:r>
      <w:bookmarkEnd w:id="66"/>
    </w:p>
    <w:p w14:paraId="474AE7F2" w14:textId="77777777" w:rsidR="00A62215" w:rsidRPr="00A62215" w:rsidRDefault="00A62215" w:rsidP="00810318">
      <w:pPr>
        <w:pStyle w:val="BodyCopy"/>
        <w:rPr>
          <w:rFonts w:eastAsia="Calibri"/>
        </w:rPr>
      </w:pPr>
      <w:r w:rsidRPr="00A62215">
        <w:rPr>
          <w:rFonts w:eastAsia="Calibri"/>
        </w:rPr>
        <w:t>Now we are going to talk about the role of our positionality within our work.</w:t>
      </w:r>
    </w:p>
    <w:p w14:paraId="1FB10FE0" w14:textId="77777777" w:rsidR="00A62215" w:rsidRPr="00A62215" w:rsidRDefault="00A62215" w:rsidP="00810318">
      <w:pPr>
        <w:pStyle w:val="BodyCopy"/>
        <w:rPr>
          <w:rFonts w:eastAsia="Calibri"/>
        </w:rPr>
      </w:pPr>
      <w:r w:rsidRPr="00A62215">
        <w:rPr>
          <w:rFonts w:eastAsia="Calibri"/>
          <w:b/>
          <w:bCs/>
        </w:rPr>
        <w:t>Positionality</w:t>
      </w:r>
      <w:r w:rsidRPr="00A62215">
        <w:rPr>
          <w:rFonts w:eastAsia="Calibri"/>
        </w:rPr>
        <w:t xml:space="preserve"> is a way of reflecting on </w:t>
      </w:r>
      <w:r w:rsidRPr="00A62215">
        <w:rPr>
          <w:rFonts w:eastAsia="Calibri"/>
          <w:b/>
          <w:bCs/>
        </w:rPr>
        <w:t>where we are situated in relation to others and to the work</w:t>
      </w:r>
      <w:r w:rsidRPr="00A62215">
        <w:rPr>
          <w:rFonts w:eastAsia="Calibri"/>
        </w:rPr>
        <w:t xml:space="preserve"> we are doing.</w:t>
      </w:r>
    </w:p>
    <w:p w14:paraId="66BAB97F" w14:textId="77777777" w:rsidR="00A62215" w:rsidRPr="00A62215" w:rsidRDefault="00A62215" w:rsidP="00810318">
      <w:pPr>
        <w:pStyle w:val="BodyCopy"/>
        <w:rPr>
          <w:rFonts w:eastAsia="Calibri"/>
        </w:rPr>
      </w:pPr>
      <w:r w:rsidRPr="00A62215">
        <w:rPr>
          <w:rFonts w:eastAsia="Calibri"/>
        </w:rPr>
        <w:t>It includes our identities and lived experiences, but it is not only about identity. It also includes our role, authority, access to resources, access to information, and proximity to decision-making.</w:t>
      </w:r>
    </w:p>
    <w:p w14:paraId="246B3506" w14:textId="77777777" w:rsidR="00A62215" w:rsidRPr="00A62215" w:rsidRDefault="00A62215" w:rsidP="00810318">
      <w:pPr>
        <w:pStyle w:val="BodyCopy"/>
        <w:rPr>
          <w:rFonts w:eastAsia="Calibri"/>
        </w:rPr>
      </w:pPr>
      <w:r w:rsidRPr="00A62215">
        <w:rPr>
          <w:rFonts w:eastAsia="Calibri"/>
        </w:rPr>
        <w:t>For leaders, positionality matters because how we see a situation is shaped by where we are standing.</w:t>
      </w:r>
    </w:p>
    <w:p w14:paraId="3FDDF2A2" w14:textId="77777777" w:rsidR="00A62215" w:rsidRPr="00A62215" w:rsidRDefault="00A62215" w:rsidP="00810318">
      <w:pPr>
        <w:pStyle w:val="BodyCopy"/>
        <w:rPr>
          <w:rFonts w:eastAsia="Calibri"/>
        </w:rPr>
      </w:pPr>
      <w:r w:rsidRPr="00A62215">
        <w:rPr>
          <w:rFonts w:eastAsia="Calibri"/>
        </w:rPr>
        <w:t>And just as importantly, other people experience us through their own understanding of our role, our authority, and the systems we may represent.</w:t>
      </w:r>
    </w:p>
    <w:p w14:paraId="40B20752" w14:textId="77777777" w:rsidR="00A62215" w:rsidRPr="00A62215" w:rsidRDefault="00A62215" w:rsidP="00810318">
      <w:pPr>
        <w:pStyle w:val="BodyCopy"/>
        <w:rPr>
          <w:rFonts w:eastAsia="Calibri"/>
        </w:rPr>
        <w:sectPr w:rsidR="00A62215" w:rsidRPr="00A62215" w:rsidSect="00A62215">
          <w:pgSz w:w="15840" w:h="12240" w:orient="landscape"/>
          <w:pgMar w:top="1440" w:right="1440" w:bottom="1440" w:left="1080" w:header="270" w:footer="720" w:gutter="0"/>
          <w:cols w:space="720"/>
          <w:titlePg/>
          <w:docGrid w:linePitch="381"/>
        </w:sectPr>
      </w:pPr>
      <w:r w:rsidRPr="00A62215">
        <w:rPr>
          <w:rFonts w:eastAsia="Calibri"/>
        </w:rPr>
        <w:t xml:space="preserve">So, </w:t>
      </w:r>
      <w:r w:rsidRPr="00A62215">
        <w:rPr>
          <w:rFonts w:eastAsia="Calibri"/>
          <w:b/>
          <w:bCs/>
        </w:rPr>
        <w:t>positionality is not about self-confession</w:t>
      </w:r>
      <w:r w:rsidRPr="00A62215">
        <w:rPr>
          <w:rFonts w:eastAsia="Calibri"/>
        </w:rPr>
        <w:t xml:space="preserve"> for the sake of it. It is about becoming more aware of how our perspective may shape our decisions, our assumptions, and our relationships.</w:t>
      </w:r>
    </w:p>
    <w:p w14:paraId="08CF9FCC" w14:textId="77777777" w:rsidR="00A62215" w:rsidRPr="00A62215" w:rsidRDefault="00A62215" w:rsidP="00CB40B5">
      <w:pPr>
        <w:pStyle w:val="Heading3"/>
        <w:rPr>
          <w:rFonts w:eastAsia="Calibri"/>
        </w:rPr>
      </w:pPr>
      <w:bookmarkStart w:id="67" w:name="_Toc243923452"/>
      <w:r w:rsidRPr="00A62215">
        <w:rPr>
          <w:rFonts w:eastAsia="Calibri"/>
        </w:rPr>
        <w:lastRenderedPageBreak/>
        <w:t>Five-minute reflection: our positionality</w:t>
      </w:r>
      <w:bookmarkEnd w:id="67"/>
    </w:p>
    <w:p w14:paraId="203201C5" w14:textId="77777777" w:rsidR="00A62215" w:rsidRPr="00A62215" w:rsidRDefault="00A62215" w:rsidP="00810318">
      <w:pPr>
        <w:pStyle w:val="BodyCopy"/>
        <w:rPr>
          <w:rFonts w:eastAsia="Calibri"/>
        </w:rPr>
      </w:pPr>
      <w:r w:rsidRPr="00A62215">
        <w:rPr>
          <w:rFonts w:eastAsia="Calibri"/>
        </w:rPr>
        <w:t>We are going to pause for five minutes for an individual reflection.</w:t>
      </w:r>
    </w:p>
    <w:p w14:paraId="397A9FEF" w14:textId="77777777" w:rsidR="00A62215" w:rsidRPr="00A62215" w:rsidRDefault="00A62215" w:rsidP="00810318">
      <w:pPr>
        <w:pStyle w:val="BodyCopy"/>
        <w:rPr>
          <w:rFonts w:eastAsia="Calibri"/>
        </w:rPr>
      </w:pPr>
      <w:r w:rsidRPr="00A62215">
        <w:rPr>
          <w:rFonts w:eastAsia="Calibri"/>
        </w:rPr>
        <w:t>You do not need to share this with anyone, although, we will have a few minutes to share, if you wish to do so. This is private reflection, and the goal is not to produce a perfect answer.</w:t>
      </w:r>
    </w:p>
    <w:p w14:paraId="30566499" w14:textId="77777777" w:rsidR="00A62215" w:rsidRPr="00A62215" w:rsidRDefault="00A62215" w:rsidP="00810318">
      <w:pPr>
        <w:pStyle w:val="BodyCopy"/>
        <w:rPr>
          <w:rFonts w:eastAsia="Calibri"/>
        </w:rPr>
      </w:pPr>
      <w:r w:rsidRPr="00A62215">
        <w:rPr>
          <w:rFonts w:eastAsia="Calibri"/>
        </w:rPr>
        <w:t>I want you to think about a current decision, project, or workplace relationship.</w:t>
      </w:r>
    </w:p>
    <w:p w14:paraId="7D5E1413" w14:textId="77777777" w:rsidR="00A62215" w:rsidRPr="00A62215" w:rsidRDefault="00A62215" w:rsidP="00810318">
      <w:pPr>
        <w:pStyle w:val="BodyCopy"/>
        <w:rPr>
          <w:rFonts w:eastAsia="Calibri"/>
        </w:rPr>
      </w:pPr>
      <w:r w:rsidRPr="00A62215">
        <w:rPr>
          <w:rFonts w:eastAsia="Calibri"/>
          <w:b/>
          <w:bCs/>
        </w:rPr>
        <w:t>Ask yourself:</w:t>
      </w:r>
      <w:r w:rsidRPr="00A62215">
        <w:rPr>
          <w:rFonts w:eastAsia="Calibri"/>
        </w:rPr>
        <w:t xml:space="preserve"> what parts of my role give me power or influence here? What assumptions might I be bringing in? Whose perspectives have I heard clearly? Whose perspectives might be missing? How does this personally or directly affect me?</w:t>
      </w:r>
    </w:p>
    <w:p w14:paraId="1D351C95" w14:textId="77777777" w:rsidR="00A62215" w:rsidRPr="00A62215" w:rsidRDefault="00A62215" w:rsidP="00810318">
      <w:pPr>
        <w:pStyle w:val="BodyCopy"/>
        <w:rPr>
          <w:rFonts w:eastAsia="Calibri"/>
          <w:b/>
          <w:bCs/>
        </w:rPr>
      </w:pPr>
      <w:r w:rsidRPr="00A62215">
        <w:rPr>
          <w:rFonts w:eastAsia="Calibri"/>
        </w:rPr>
        <w:t xml:space="preserve">And the final question is especially important: </w:t>
      </w:r>
      <w:r w:rsidRPr="00A62215">
        <w:rPr>
          <w:rFonts w:eastAsia="Calibri"/>
          <w:b/>
          <w:bCs/>
        </w:rPr>
        <w:t>what do I owe people after asking for input, receiving feedback, or making a decision?</w:t>
      </w:r>
    </w:p>
    <w:p w14:paraId="19964763" w14:textId="77777777" w:rsidR="00A62215" w:rsidRPr="00A62215" w:rsidRDefault="00A62215" w:rsidP="00810318">
      <w:pPr>
        <w:pStyle w:val="BodyCopy"/>
        <w:rPr>
          <w:rFonts w:eastAsia="Calibri"/>
        </w:rPr>
        <w:sectPr w:rsidR="00A62215" w:rsidRPr="00A62215" w:rsidSect="00A62215">
          <w:pgSz w:w="15840" w:h="12240" w:orient="landscape"/>
          <w:pgMar w:top="1440" w:right="1440" w:bottom="1440" w:left="1080" w:header="270" w:footer="720" w:gutter="0"/>
          <w:cols w:space="720"/>
          <w:titlePg/>
          <w:docGrid w:linePitch="381"/>
        </w:sectPr>
      </w:pPr>
      <w:r w:rsidRPr="00A62215">
        <w:rPr>
          <w:rFonts w:eastAsia="Calibri"/>
        </w:rPr>
        <w:t>I will give us five minutes. Silence is okay. Thinking is the activity.</w:t>
      </w:r>
    </w:p>
    <w:p w14:paraId="353D70D7" w14:textId="77777777" w:rsidR="00A62215" w:rsidRPr="00A62215" w:rsidRDefault="00A62215" w:rsidP="00CB40B5">
      <w:pPr>
        <w:pStyle w:val="Heading3"/>
        <w:rPr>
          <w:rFonts w:eastAsia="Calibri"/>
        </w:rPr>
      </w:pPr>
      <w:bookmarkStart w:id="68" w:name="_Toc243923453"/>
      <w:r w:rsidRPr="00A62215">
        <w:rPr>
          <w:rFonts w:eastAsia="Calibri"/>
        </w:rPr>
        <w:lastRenderedPageBreak/>
        <w:t>Relational accountability</w:t>
      </w:r>
      <w:bookmarkEnd w:id="68"/>
    </w:p>
    <w:p w14:paraId="111EB3B6" w14:textId="77777777" w:rsidR="00A62215" w:rsidRPr="00A62215" w:rsidRDefault="00A62215" w:rsidP="00810318">
      <w:pPr>
        <w:pStyle w:val="BodyCopy"/>
        <w:rPr>
          <w:rFonts w:eastAsia="Calibri"/>
        </w:rPr>
      </w:pPr>
      <w:r w:rsidRPr="00A62215">
        <w:rPr>
          <w:rFonts w:eastAsia="Calibri"/>
        </w:rPr>
        <w:t>The reason we moved from positionality into accountability is because awareness is only the beginning.</w:t>
      </w:r>
    </w:p>
    <w:p w14:paraId="61E10B28" w14:textId="77777777" w:rsidR="00A62215" w:rsidRPr="00A62215" w:rsidRDefault="00A62215" w:rsidP="00810318">
      <w:pPr>
        <w:pStyle w:val="BodyCopy"/>
        <w:rPr>
          <w:rFonts w:eastAsia="Calibri"/>
        </w:rPr>
      </w:pPr>
      <w:r w:rsidRPr="00A62215">
        <w:rPr>
          <w:rFonts w:eastAsia="Calibri"/>
        </w:rPr>
        <w:t>It is useful to reflect on who we are, what assumptions we carry, and how power shapes our decisions. But ethical leadership asks us to go further.</w:t>
      </w:r>
    </w:p>
    <w:p w14:paraId="1175E6A9" w14:textId="77777777" w:rsidR="00A62215" w:rsidRPr="00A62215" w:rsidRDefault="00A62215" w:rsidP="00810318">
      <w:pPr>
        <w:pStyle w:val="BodyCopy"/>
        <w:rPr>
          <w:rFonts w:eastAsia="Calibri"/>
        </w:rPr>
      </w:pPr>
      <w:r w:rsidRPr="00A62215">
        <w:rPr>
          <w:rFonts w:eastAsia="Calibri"/>
          <w:b/>
          <w:bCs/>
        </w:rPr>
        <w:t>Relational accountability is about responsibility within relationships.</w:t>
      </w:r>
      <w:r w:rsidRPr="00A62215">
        <w:rPr>
          <w:rFonts w:eastAsia="Calibri"/>
        </w:rPr>
        <w:t xml:space="preserve"> It asks: who am I in relationship with? What responsibilities come with that relationship? How do I act with respect, reciprocity, and transparency?</w:t>
      </w:r>
    </w:p>
    <w:p w14:paraId="731E8ECC" w14:textId="77777777" w:rsidR="00A62215" w:rsidRPr="00A62215" w:rsidRDefault="00A62215" w:rsidP="00810318">
      <w:pPr>
        <w:pStyle w:val="BodyCopy"/>
        <w:rPr>
          <w:rFonts w:eastAsia="Calibri"/>
        </w:rPr>
      </w:pPr>
      <w:r w:rsidRPr="00A62215">
        <w:rPr>
          <w:rFonts w:eastAsia="Calibri"/>
        </w:rPr>
        <w:t>This is especially important in inclusion work because feedback often comes through relationship.</w:t>
      </w:r>
    </w:p>
    <w:p w14:paraId="76592B28" w14:textId="77777777" w:rsidR="00A62215" w:rsidRPr="00A62215" w:rsidRDefault="00A62215" w:rsidP="00810318">
      <w:pPr>
        <w:pStyle w:val="BodyCopy"/>
        <w:rPr>
          <w:rFonts w:eastAsia="Calibri"/>
        </w:rPr>
      </w:pPr>
      <w:r w:rsidRPr="00A62215">
        <w:rPr>
          <w:rFonts w:eastAsia="Calibri"/>
        </w:rPr>
        <w:t>Someone tells us a meeting format is not working. Someone tells us a decision affected them differently than we expected. Someone tells us they were not included early enough. Someone tells us the process created a barrier.</w:t>
      </w:r>
    </w:p>
    <w:p w14:paraId="55D991E5" w14:textId="77777777" w:rsidR="00A62215" w:rsidRPr="00A62215" w:rsidRDefault="00A62215" w:rsidP="00810318">
      <w:pPr>
        <w:pStyle w:val="BodyCopy"/>
        <w:rPr>
          <w:rFonts w:eastAsia="Calibri"/>
          <w:b/>
          <w:bCs/>
        </w:rPr>
        <w:sectPr w:rsidR="00A62215" w:rsidRPr="00A62215" w:rsidSect="00A62215">
          <w:pgSz w:w="15840" w:h="12240" w:orient="landscape"/>
          <w:pgMar w:top="1440" w:right="1440" w:bottom="1440" w:left="1080" w:header="270" w:footer="720" w:gutter="0"/>
          <w:cols w:space="720"/>
          <w:titlePg/>
          <w:docGrid w:linePitch="381"/>
        </w:sectPr>
      </w:pPr>
      <w:r w:rsidRPr="00A62215">
        <w:rPr>
          <w:rFonts w:eastAsia="Calibri"/>
          <w:b/>
          <w:bCs/>
        </w:rPr>
        <w:t>Relational accountability is what we do with that information.</w:t>
      </w:r>
    </w:p>
    <w:p w14:paraId="16BEDB7B" w14:textId="77777777" w:rsidR="00A62215" w:rsidRPr="00A62215" w:rsidRDefault="00A62215" w:rsidP="00CB40B5">
      <w:pPr>
        <w:pStyle w:val="Heading3"/>
        <w:rPr>
          <w:rFonts w:eastAsia="Calibri"/>
        </w:rPr>
      </w:pPr>
      <w:bookmarkStart w:id="69" w:name="_Toc243923454"/>
      <w:r w:rsidRPr="00A62215">
        <w:rPr>
          <w:rFonts w:eastAsia="Calibri"/>
        </w:rPr>
        <w:lastRenderedPageBreak/>
        <w:t>Co-design: “nothing about us without us”</w:t>
      </w:r>
      <w:bookmarkEnd w:id="69"/>
    </w:p>
    <w:p w14:paraId="32F6B6A1" w14:textId="77777777" w:rsidR="00A62215" w:rsidRPr="00A62215" w:rsidRDefault="00A62215" w:rsidP="00810318">
      <w:pPr>
        <w:pStyle w:val="BodyCopy"/>
        <w:rPr>
          <w:rFonts w:eastAsia="Calibri"/>
        </w:rPr>
      </w:pPr>
      <w:r w:rsidRPr="00A62215">
        <w:rPr>
          <w:rFonts w:eastAsia="Calibri"/>
        </w:rPr>
        <w:t>Now we move into co-design and the principle of “nothing about us without us.”</w:t>
      </w:r>
    </w:p>
    <w:p w14:paraId="3DC91A20" w14:textId="77777777" w:rsidR="00A62215" w:rsidRPr="00A62215" w:rsidRDefault="00A62215" w:rsidP="00810318">
      <w:pPr>
        <w:pStyle w:val="BodyCopy"/>
        <w:rPr>
          <w:rFonts w:eastAsia="Calibri"/>
        </w:rPr>
      </w:pPr>
      <w:r w:rsidRPr="00A62215">
        <w:rPr>
          <w:rFonts w:eastAsia="Calibri"/>
        </w:rPr>
        <w:t>At its simplest, co-design means working with people impacted by a decision, process, service, policy, or barrier.</w:t>
      </w:r>
    </w:p>
    <w:p w14:paraId="66FC1D15" w14:textId="77777777" w:rsidR="00A62215" w:rsidRPr="00A62215" w:rsidRDefault="00A62215" w:rsidP="00810318">
      <w:pPr>
        <w:pStyle w:val="BodyCopy"/>
        <w:rPr>
          <w:rFonts w:eastAsia="Calibri"/>
        </w:rPr>
      </w:pPr>
      <w:r w:rsidRPr="00A62215">
        <w:rPr>
          <w:rFonts w:eastAsia="Calibri"/>
        </w:rPr>
        <w:t xml:space="preserve">The principle of </w:t>
      </w:r>
      <w:r w:rsidRPr="00A62215">
        <w:rPr>
          <w:rFonts w:eastAsia="Calibri"/>
          <w:b/>
          <w:bCs/>
        </w:rPr>
        <w:t>“nothing about us without us”</w:t>
      </w:r>
      <w:r w:rsidRPr="00A62215">
        <w:rPr>
          <w:rFonts w:eastAsia="Calibri"/>
        </w:rPr>
        <w:t xml:space="preserve"> comes strongly from disability rights movements, and it is a powerful reminder that people should not be excluded from decisions that shape their own participation.</w:t>
      </w:r>
    </w:p>
    <w:p w14:paraId="70F49833" w14:textId="77777777" w:rsidR="00A62215" w:rsidRPr="00A62215" w:rsidRDefault="00A62215" w:rsidP="00810318">
      <w:pPr>
        <w:pStyle w:val="BodyCopy"/>
        <w:rPr>
          <w:rFonts w:eastAsia="Calibri"/>
        </w:rPr>
      </w:pPr>
      <w:r w:rsidRPr="00A62215">
        <w:rPr>
          <w:rFonts w:eastAsia="Calibri"/>
        </w:rPr>
        <w:t>For leaders, this does not mean every single decision becomes a giant committee. Nobody is asking us to co-design the office stapler placement…probably…hopefully!</w:t>
      </w:r>
    </w:p>
    <w:p w14:paraId="727FDA1B" w14:textId="77777777" w:rsidR="00A62215" w:rsidRPr="00A62215" w:rsidRDefault="00A62215" w:rsidP="00810318">
      <w:pPr>
        <w:pStyle w:val="BodyCopy"/>
        <w:rPr>
          <w:rFonts w:eastAsia="Calibri"/>
          <w:b/>
          <w:bCs/>
        </w:rPr>
      </w:pPr>
      <w:r w:rsidRPr="00A62215">
        <w:rPr>
          <w:rFonts w:eastAsia="Calibri"/>
        </w:rPr>
        <w:t xml:space="preserve">But it does mean we need to be thoughtful about when participation is needed, who is affected, and whether the </w:t>
      </w:r>
      <w:r w:rsidRPr="00A62215">
        <w:rPr>
          <w:rFonts w:eastAsia="Calibri"/>
          <w:b/>
          <w:bCs/>
        </w:rPr>
        <w:t>people impacted have a meaningful opportunity to shape the outcome.</w:t>
      </w:r>
    </w:p>
    <w:p w14:paraId="2DDF2822" w14:textId="77777777" w:rsidR="00A62215" w:rsidRPr="00A62215" w:rsidRDefault="00A62215" w:rsidP="00810318">
      <w:pPr>
        <w:pStyle w:val="BodyCopy"/>
        <w:rPr>
          <w:rFonts w:eastAsia="Calibri"/>
          <w:b/>
          <w:bCs/>
        </w:rPr>
        <w:sectPr w:rsidR="00A62215" w:rsidRPr="00A62215" w:rsidSect="00A62215">
          <w:pgSz w:w="15840" w:h="12240" w:orient="landscape"/>
          <w:pgMar w:top="1440" w:right="1440" w:bottom="1440" w:left="1080" w:header="270" w:footer="720" w:gutter="0"/>
          <w:cols w:space="720"/>
          <w:titlePg/>
          <w:docGrid w:linePitch="381"/>
        </w:sectPr>
      </w:pPr>
      <w:r w:rsidRPr="00A62215">
        <w:rPr>
          <w:rFonts w:eastAsia="Calibri"/>
        </w:rPr>
        <w:t xml:space="preserve">Co-design is not just about asking people what they think. </w:t>
      </w:r>
      <w:r w:rsidRPr="00A62215">
        <w:rPr>
          <w:rFonts w:eastAsia="Calibri"/>
          <w:b/>
          <w:bCs/>
        </w:rPr>
        <w:t>It is about recognizing lived experience as expertise.</w:t>
      </w:r>
    </w:p>
    <w:p w14:paraId="65137099" w14:textId="77777777" w:rsidR="00A62215" w:rsidRPr="00A62215" w:rsidRDefault="00A62215" w:rsidP="00CB40B5">
      <w:pPr>
        <w:pStyle w:val="Heading3"/>
        <w:rPr>
          <w:rFonts w:eastAsia="Calibri"/>
        </w:rPr>
      </w:pPr>
      <w:bookmarkStart w:id="70" w:name="_Toc243923455"/>
      <w:r w:rsidRPr="00A62215">
        <w:rPr>
          <w:rFonts w:eastAsia="Calibri"/>
        </w:rPr>
        <w:lastRenderedPageBreak/>
        <w:t>Participation is a spectrum</w:t>
      </w:r>
      <w:bookmarkEnd w:id="70"/>
    </w:p>
    <w:p w14:paraId="35D38C07" w14:textId="77777777" w:rsidR="00A62215" w:rsidRPr="00A62215" w:rsidRDefault="00A62215" w:rsidP="00810318">
      <w:pPr>
        <w:pStyle w:val="BodyCopy"/>
        <w:rPr>
          <w:rFonts w:eastAsia="Calibri"/>
        </w:rPr>
      </w:pPr>
      <w:r w:rsidRPr="00A62215">
        <w:rPr>
          <w:rFonts w:eastAsia="Calibri"/>
        </w:rPr>
        <w:t>Participation is not one thing. It is a spectrum.</w:t>
      </w:r>
    </w:p>
    <w:p w14:paraId="0FAFB858" w14:textId="77777777" w:rsidR="00A62215" w:rsidRPr="00A62215" w:rsidRDefault="00A62215" w:rsidP="00810318">
      <w:pPr>
        <w:pStyle w:val="BodyCopy"/>
        <w:rPr>
          <w:rFonts w:eastAsia="Calibri"/>
        </w:rPr>
      </w:pPr>
      <w:r w:rsidRPr="00A62215">
        <w:rPr>
          <w:rFonts w:eastAsia="Calibri"/>
        </w:rPr>
        <w:t>Sometimes informing people is appropriate. Sometimes consultation is appropriate. Sometimes people need to be involved more deeply. Sometimes collaboration or shared decision-making is the ethical choice.</w:t>
      </w:r>
    </w:p>
    <w:p w14:paraId="633FCC9A" w14:textId="77777777" w:rsidR="00A62215" w:rsidRPr="00A62215" w:rsidRDefault="00A62215" w:rsidP="00810318">
      <w:pPr>
        <w:pStyle w:val="BodyCopy"/>
        <w:rPr>
          <w:rFonts w:eastAsia="Calibri"/>
        </w:rPr>
      </w:pPr>
      <w:r w:rsidRPr="00A62215">
        <w:rPr>
          <w:rFonts w:eastAsia="Calibri"/>
        </w:rPr>
        <w:t>The problem happens when we blur those levels.</w:t>
      </w:r>
    </w:p>
    <w:p w14:paraId="21991879" w14:textId="77777777" w:rsidR="00A62215" w:rsidRPr="00A62215" w:rsidRDefault="00A62215" w:rsidP="00810318">
      <w:pPr>
        <w:pStyle w:val="BodyCopy"/>
        <w:rPr>
          <w:rFonts w:eastAsia="Calibri"/>
        </w:rPr>
      </w:pPr>
      <w:r w:rsidRPr="00A62215">
        <w:rPr>
          <w:rFonts w:eastAsia="Calibri"/>
        </w:rPr>
        <w:t>For example, if a leader has already made a decision but asks for “feedback,” people may believe they still have influence. If they later realize the decision was already final, trust can be damaged.</w:t>
      </w:r>
    </w:p>
    <w:p w14:paraId="094C9C59" w14:textId="77777777" w:rsidR="00A62215" w:rsidRPr="00A62215" w:rsidRDefault="00A62215" w:rsidP="00810318">
      <w:pPr>
        <w:pStyle w:val="BodyCopy"/>
        <w:rPr>
          <w:rFonts w:eastAsia="Calibri"/>
        </w:rPr>
      </w:pPr>
      <w:r w:rsidRPr="00A62215">
        <w:rPr>
          <w:rFonts w:eastAsia="Calibri"/>
        </w:rPr>
        <w:t>Or if a team is asked for input repeatedly but never hears what happened with that input, participation starts to feel performative.</w:t>
      </w:r>
    </w:p>
    <w:p w14:paraId="5B16B342" w14:textId="77777777" w:rsidR="00A62215" w:rsidRPr="00A62215" w:rsidRDefault="00A62215" w:rsidP="00810318">
      <w:pPr>
        <w:pStyle w:val="BodyCopy"/>
        <w:rPr>
          <w:rFonts w:eastAsia="Calibri"/>
        </w:rPr>
      </w:pPr>
      <w:r w:rsidRPr="00A62215">
        <w:rPr>
          <w:rFonts w:eastAsia="Calibri"/>
        </w:rPr>
        <w:t>Ethical leadership does not mean every decision must be shared equally. It means being clear and honest about what kind of participation is being offered, what is still open, what is not open, and how input will be used.</w:t>
      </w:r>
    </w:p>
    <w:p w14:paraId="56C15A6E" w14:textId="77777777" w:rsidR="00DA39BA" w:rsidRDefault="00DA39BA">
      <w:pPr>
        <w:rPr>
          <w:rFonts w:ascii="Arial Black" w:eastAsia="Calibri" w:hAnsi="Arial Black" w:cs="Arial"/>
          <w:b/>
          <w:color w:val="000000"/>
          <w:sz w:val="56"/>
          <w:szCs w:val="56"/>
        </w:rPr>
      </w:pPr>
      <w:r>
        <w:rPr>
          <w:rFonts w:ascii="Arial Black" w:eastAsia="Calibri" w:hAnsi="Arial Black"/>
          <w:b/>
          <w:sz w:val="56"/>
          <w:szCs w:val="56"/>
        </w:rPr>
        <w:br w:type="page"/>
      </w:r>
    </w:p>
    <w:p w14:paraId="10E7DC45" w14:textId="7B967988" w:rsidR="00A62215" w:rsidRPr="00A62215" w:rsidRDefault="00A62215" w:rsidP="0063632B">
      <w:pPr>
        <w:pStyle w:val="Heading3"/>
        <w:rPr>
          <w:rFonts w:eastAsia="Calibri"/>
        </w:rPr>
      </w:pPr>
      <w:bookmarkStart w:id="71" w:name="_Toc243923456"/>
      <w:r w:rsidRPr="00A62215">
        <w:rPr>
          <w:rFonts w:eastAsia="Calibri"/>
        </w:rPr>
        <w:lastRenderedPageBreak/>
        <w:t>The participation ladder</w:t>
      </w:r>
      <w:bookmarkEnd w:id="71"/>
    </w:p>
    <w:p w14:paraId="29FA0F1F" w14:textId="77777777" w:rsidR="00A62215" w:rsidRPr="00A62215" w:rsidRDefault="00A62215" w:rsidP="00810318">
      <w:pPr>
        <w:pStyle w:val="BodyCopy"/>
        <w:rPr>
          <w:rFonts w:eastAsia="Calibri"/>
        </w:rPr>
      </w:pPr>
      <w:r w:rsidRPr="00A62215">
        <w:rPr>
          <w:rFonts w:eastAsia="Calibri"/>
        </w:rPr>
        <w:t>The participation ladder comes from Sherry Arnstein’s 1969 work on citizen participation. Arnstein used the ladder to show that participation is not all the same. Some forms give people information or a voice, while others give people real influence over decisions.</w:t>
      </w:r>
    </w:p>
    <w:p w14:paraId="7922D9BF" w14:textId="77777777" w:rsidR="00A62215" w:rsidRPr="00A62215" w:rsidRDefault="00A62215" w:rsidP="00810318">
      <w:pPr>
        <w:pStyle w:val="BodyCopy"/>
        <w:rPr>
          <w:rFonts w:eastAsia="Calibri"/>
        </w:rPr>
      </w:pPr>
      <w:r w:rsidRPr="00A62215">
        <w:rPr>
          <w:rFonts w:eastAsia="Calibri"/>
        </w:rPr>
        <w:t>This ladder is a great resource as it helps us notice the difference between:</w:t>
      </w:r>
    </w:p>
    <w:p w14:paraId="49086B26" w14:textId="77777777" w:rsidR="00A62215" w:rsidRPr="00A62215" w:rsidRDefault="00A62215" w:rsidP="00810318">
      <w:pPr>
        <w:pStyle w:val="BodyCopy"/>
        <w:rPr>
          <w:rFonts w:eastAsia="Calibri"/>
        </w:rPr>
      </w:pPr>
      <w:r w:rsidRPr="00A62215">
        <w:rPr>
          <w:rFonts w:eastAsia="Calibri"/>
        </w:rPr>
        <w:t xml:space="preserve">Being informed after a decision is made </w:t>
      </w:r>
    </w:p>
    <w:p w14:paraId="630366E5" w14:textId="77777777" w:rsidR="00A62215" w:rsidRPr="00A62215" w:rsidRDefault="00A62215" w:rsidP="00810318">
      <w:pPr>
        <w:pStyle w:val="BodyCopy"/>
        <w:rPr>
          <w:rFonts w:eastAsia="Calibri"/>
        </w:rPr>
      </w:pPr>
      <w:r w:rsidRPr="00A62215">
        <w:rPr>
          <w:rFonts w:eastAsia="Calibri"/>
        </w:rPr>
        <w:t xml:space="preserve">Being asked for input </w:t>
      </w:r>
    </w:p>
    <w:p w14:paraId="148F5415" w14:textId="77777777" w:rsidR="00A62215" w:rsidRPr="00A62215" w:rsidRDefault="00A62215" w:rsidP="00810318">
      <w:pPr>
        <w:pStyle w:val="BodyCopy"/>
        <w:rPr>
          <w:rFonts w:eastAsia="Calibri"/>
        </w:rPr>
      </w:pPr>
      <w:r w:rsidRPr="00A62215">
        <w:rPr>
          <w:rFonts w:eastAsia="Calibri"/>
        </w:rPr>
        <w:t xml:space="preserve">Having input considered </w:t>
      </w:r>
    </w:p>
    <w:p w14:paraId="59996AE4" w14:textId="77777777" w:rsidR="00A62215" w:rsidRPr="00A62215" w:rsidRDefault="00A62215" w:rsidP="00810318">
      <w:pPr>
        <w:pStyle w:val="BodyCopy"/>
        <w:rPr>
          <w:rFonts w:eastAsia="Calibri"/>
        </w:rPr>
      </w:pPr>
      <w:r w:rsidRPr="00A62215">
        <w:rPr>
          <w:rFonts w:eastAsia="Calibri"/>
        </w:rPr>
        <w:t xml:space="preserve">Helping shape the options </w:t>
      </w:r>
    </w:p>
    <w:p w14:paraId="6DA68EAF" w14:textId="77777777" w:rsidR="00A62215" w:rsidRPr="00A62215" w:rsidRDefault="00A62215" w:rsidP="00810318">
      <w:pPr>
        <w:pStyle w:val="BodyCopy"/>
        <w:rPr>
          <w:rFonts w:eastAsia="Calibri"/>
        </w:rPr>
      </w:pPr>
      <w:r w:rsidRPr="00A62215">
        <w:rPr>
          <w:rFonts w:eastAsia="Calibri"/>
        </w:rPr>
        <w:t xml:space="preserve">Sharing influence over the decision </w:t>
      </w:r>
    </w:p>
    <w:p w14:paraId="29BCB1F5" w14:textId="77777777" w:rsidR="00A62215" w:rsidRPr="00A62215" w:rsidRDefault="00A62215" w:rsidP="00810318">
      <w:pPr>
        <w:pStyle w:val="BodyCopy"/>
        <w:rPr>
          <w:rFonts w:eastAsia="Calibri"/>
        </w:rPr>
      </w:pPr>
      <w:r w:rsidRPr="00A62215">
        <w:rPr>
          <w:rFonts w:eastAsia="Calibri"/>
        </w:rPr>
        <w:t xml:space="preserve">Having ownership over the outcome </w:t>
      </w:r>
    </w:p>
    <w:p w14:paraId="4703CA83" w14:textId="77777777" w:rsidR="00A62215" w:rsidRPr="00A62215" w:rsidRDefault="00A62215" w:rsidP="00810318">
      <w:pPr>
        <w:pStyle w:val="BodyCopy"/>
        <w:rPr>
          <w:rFonts w:eastAsia="Calibri"/>
          <w:b/>
          <w:bCs/>
        </w:rPr>
      </w:pPr>
      <w:r w:rsidRPr="00A62215">
        <w:rPr>
          <w:rFonts w:eastAsia="Calibri"/>
        </w:rPr>
        <w:t>The leadership question is:</w:t>
      </w:r>
      <w:r w:rsidRPr="00A62215">
        <w:rPr>
          <w:rFonts w:eastAsia="Calibri"/>
        </w:rPr>
        <w:br/>
      </w:r>
      <w:r w:rsidRPr="00A62215">
        <w:rPr>
          <w:rFonts w:eastAsia="Calibri"/>
          <w:b/>
          <w:bCs/>
        </w:rPr>
        <w:t>Are we offering information, input, influence, or shared power?</w:t>
      </w:r>
    </w:p>
    <w:p w14:paraId="53039186" w14:textId="77777777" w:rsidR="00DA39BA" w:rsidRDefault="00DA39BA">
      <w:pPr>
        <w:rPr>
          <w:rFonts w:ascii="Arial Black" w:eastAsia="Calibri" w:hAnsi="Arial Black" w:cs="Arial"/>
          <w:b/>
          <w:color w:val="000000"/>
          <w:sz w:val="56"/>
          <w:szCs w:val="56"/>
        </w:rPr>
      </w:pPr>
      <w:r>
        <w:rPr>
          <w:rFonts w:ascii="Arial Black" w:eastAsia="Calibri" w:hAnsi="Arial Black"/>
          <w:b/>
          <w:sz w:val="56"/>
          <w:szCs w:val="56"/>
        </w:rPr>
        <w:br w:type="page"/>
      </w:r>
    </w:p>
    <w:p w14:paraId="777CDA81" w14:textId="52B709E6" w:rsidR="00A62215" w:rsidRPr="00A62215" w:rsidRDefault="00A62215" w:rsidP="0063632B">
      <w:pPr>
        <w:pStyle w:val="Heading3"/>
        <w:rPr>
          <w:rFonts w:eastAsia="Calibri"/>
        </w:rPr>
      </w:pPr>
      <w:bookmarkStart w:id="72" w:name="_Toc243923457"/>
      <w:r w:rsidRPr="00A62215">
        <w:rPr>
          <w:rFonts w:eastAsia="Calibri"/>
        </w:rPr>
        <w:lastRenderedPageBreak/>
        <w:t>A practical participation check</w:t>
      </w:r>
      <w:bookmarkEnd w:id="72"/>
    </w:p>
    <w:p w14:paraId="0BD77BAE" w14:textId="77777777" w:rsidR="00A62215" w:rsidRPr="00A62215" w:rsidRDefault="00A62215" w:rsidP="00810318">
      <w:pPr>
        <w:pStyle w:val="BodyCopy"/>
        <w:rPr>
          <w:rFonts w:eastAsia="Calibri"/>
        </w:rPr>
      </w:pPr>
      <w:r w:rsidRPr="00A62215">
        <w:rPr>
          <w:rFonts w:eastAsia="Calibri"/>
        </w:rPr>
        <w:t>Here is a practical check leaders can use before asking for input.</w:t>
      </w:r>
    </w:p>
    <w:p w14:paraId="64B07C94" w14:textId="77777777" w:rsidR="00A62215" w:rsidRPr="00A62215" w:rsidRDefault="00A62215" w:rsidP="00810318">
      <w:pPr>
        <w:pStyle w:val="BodyCopy"/>
        <w:rPr>
          <w:rFonts w:eastAsia="Calibri"/>
        </w:rPr>
      </w:pPr>
      <w:r w:rsidRPr="00A62215">
        <w:rPr>
          <w:rFonts w:eastAsia="Calibri"/>
          <w:b/>
          <w:bCs/>
        </w:rPr>
        <w:t>First</w:t>
      </w:r>
      <w:r w:rsidRPr="00A62215">
        <w:rPr>
          <w:rFonts w:eastAsia="Calibri"/>
        </w:rPr>
        <w:t>: what decision is actually being made?</w:t>
      </w:r>
    </w:p>
    <w:p w14:paraId="61A826B6" w14:textId="77777777" w:rsidR="00A62215" w:rsidRPr="00A62215" w:rsidRDefault="00A62215" w:rsidP="00810318">
      <w:pPr>
        <w:pStyle w:val="BodyCopy"/>
        <w:rPr>
          <w:rFonts w:eastAsia="Calibri"/>
        </w:rPr>
      </w:pPr>
      <w:r w:rsidRPr="00A62215">
        <w:rPr>
          <w:rFonts w:eastAsia="Calibri"/>
          <w:b/>
          <w:bCs/>
        </w:rPr>
        <w:t>Second</w:t>
      </w:r>
      <w:r w:rsidRPr="00A62215">
        <w:rPr>
          <w:rFonts w:eastAsia="Calibri"/>
        </w:rPr>
        <w:t>: who is affected by it?</w:t>
      </w:r>
    </w:p>
    <w:p w14:paraId="0AE1F202" w14:textId="77777777" w:rsidR="00A62215" w:rsidRPr="00A62215" w:rsidRDefault="00A62215" w:rsidP="00810318">
      <w:pPr>
        <w:pStyle w:val="BodyCopy"/>
        <w:rPr>
          <w:rFonts w:eastAsia="Calibri"/>
        </w:rPr>
      </w:pPr>
      <w:r w:rsidRPr="00A62215">
        <w:rPr>
          <w:rFonts w:eastAsia="Calibri"/>
          <w:b/>
          <w:bCs/>
        </w:rPr>
        <w:t>Third</w:t>
      </w:r>
      <w:r w:rsidRPr="00A62215">
        <w:rPr>
          <w:rFonts w:eastAsia="Calibri"/>
        </w:rPr>
        <w:t>: what is still open to influence? This is an important one. If nothing is open to influence, then be careful about calling it consultation.</w:t>
      </w:r>
    </w:p>
    <w:p w14:paraId="190DDAB2" w14:textId="77777777" w:rsidR="00A62215" w:rsidRPr="00A62215" w:rsidRDefault="00A62215" w:rsidP="00810318">
      <w:pPr>
        <w:pStyle w:val="BodyCopy"/>
        <w:rPr>
          <w:rFonts w:eastAsia="Calibri"/>
        </w:rPr>
      </w:pPr>
      <w:r w:rsidRPr="00A62215">
        <w:rPr>
          <w:rFonts w:eastAsia="Calibri"/>
          <w:b/>
          <w:bCs/>
        </w:rPr>
        <w:t>Fourth</w:t>
      </w:r>
      <w:r w:rsidRPr="00A62215">
        <w:rPr>
          <w:rFonts w:eastAsia="Calibri"/>
        </w:rPr>
        <w:t>: what is already decided? People can handle boundaries better than ambiguity. We do not need to pretend everything is open when it is not.</w:t>
      </w:r>
    </w:p>
    <w:p w14:paraId="438B9955" w14:textId="77777777" w:rsidR="00A62215" w:rsidRPr="00A62215" w:rsidRDefault="00A62215" w:rsidP="00810318">
      <w:pPr>
        <w:pStyle w:val="BodyCopy"/>
        <w:rPr>
          <w:rFonts w:eastAsia="Calibri"/>
        </w:rPr>
      </w:pPr>
      <w:r w:rsidRPr="00A62215">
        <w:rPr>
          <w:rFonts w:eastAsia="Calibri"/>
          <w:b/>
          <w:bCs/>
        </w:rPr>
        <w:t>Fifth</w:t>
      </w:r>
      <w:r w:rsidRPr="00A62215">
        <w:rPr>
          <w:rFonts w:eastAsia="Calibri"/>
        </w:rPr>
        <w:t>: how will input be used? How will we report back? And what follow-through do we owe?</w:t>
      </w:r>
    </w:p>
    <w:p w14:paraId="5D863455" w14:textId="77777777" w:rsidR="00A62215" w:rsidRPr="00A62215" w:rsidRDefault="00A62215" w:rsidP="00810318">
      <w:pPr>
        <w:pStyle w:val="BodyCopy"/>
        <w:rPr>
          <w:rFonts w:eastAsia="Calibri"/>
        </w:rPr>
        <w:sectPr w:rsidR="00A62215" w:rsidRPr="00A62215" w:rsidSect="00A62215">
          <w:pgSz w:w="15840" w:h="12240" w:orient="landscape"/>
          <w:pgMar w:top="1440" w:right="1440" w:bottom="1440" w:left="1080" w:header="270" w:footer="720" w:gutter="0"/>
          <w:cols w:space="720"/>
          <w:titlePg/>
          <w:docGrid w:linePitch="381"/>
        </w:sectPr>
      </w:pPr>
      <w:r w:rsidRPr="00A62215">
        <w:rPr>
          <w:rFonts w:eastAsia="Calibri"/>
        </w:rPr>
        <w:t>This last piece matters, and it is the most difficult to manage at times. Participation without follow-through can weaken trust. People may feel like they gave time, vulnerability, and expertise, but nothing changed and nothing was acknowledged.</w:t>
      </w:r>
    </w:p>
    <w:p w14:paraId="775DB562" w14:textId="381C4810" w:rsidR="001960E1" w:rsidRPr="00A62215" w:rsidRDefault="00E406BE" w:rsidP="001960E1">
      <w:pPr>
        <w:pStyle w:val="Heading2"/>
        <w:rPr>
          <w:rFonts w:eastAsia="Calibri"/>
        </w:rPr>
      </w:pPr>
      <w:bookmarkStart w:id="73" w:name="_Toc243923458"/>
      <w:r>
        <w:rPr>
          <w:rFonts w:eastAsia="Calibri"/>
        </w:rPr>
        <w:lastRenderedPageBreak/>
        <w:t xml:space="preserve">Appendix C. </w:t>
      </w:r>
      <w:r w:rsidR="00A62215" w:rsidRPr="00A62215">
        <w:rPr>
          <w:rFonts w:eastAsia="Calibri"/>
        </w:rPr>
        <w:t>Inclusive Leadership Foundations – Session 2</w:t>
      </w:r>
      <w:r>
        <w:rPr>
          <w:rFonts w:eastAsia="Calibri"/>
        </w:rPr>
        <w:t xml:space="preserve">: </w:t>
      </w:r>
      <w:r w:rsidR="001960E1" w:rsidRPr="00A62215">
        <w:rPr>
          <w:rFonts w:eastAsia="Calibri"/>
        </w:rPr>
        <w:t>Leading Across Differences</w:t>
      </w:r>
      <w:bookmarkEnd w:id="73"/>
    </w:p>
    <w:p w14:paraId="3679BD3E" w14:textId="77777777" w:rsidR="001960E1" w:rsidRPr="001960E1" w:rsidRDefault="001960E1" w:rsidP="001960E1"/>
    <w:p w14:paraId="1FE3DD84" w14:textId="77777777" w:rsidR="00A62215" w:rsidRPr="00A62215" w:rsidRDefault="00A62215" w:rsidP="00810318">
      <w:pPr>
        <w:pStyle w:val="BodyCopy"/>
        <w:rPr>
          <w:rFonts w:eastAsia="Calibri"/>
        </w:rPr>
      </w:pPr>
      <w:r w:rsidRPr="00A62215">
        <w:rPr>
          <w:rFonts w:eastAsia="Calibri"/>
          <w:b/>
          <w:bCs/>
        </w:rPr>
        <w:t>Facilitator:</w:t>
      </w:r>
      <w:r w:rsidRPr="00A62215">
        <w:rPr>
          <w:rFonts w:eastAsia="Calibri"/>
        </w:rPr>
        <w:t xml:space="preserve"> Ana Sofia Barrows (she/her), Director, Accessibility and Inclusion</w:t>
      </w:r>
    </w:p>
    <w:p w14:paraId="03B5D2DB" w14:textId="77777777" w:rsidR="00A62215" w:rsidRPr="00A62215" w:rsidRDefault="00A62215" w:rsidP="00E406BE">
      <w:pPr>
        <w:pStyle w:val="Heading3"/>
        <w:rPr>
          <w:rFonts w:eastAsia="Calibri"/>
        </w:rPr>
      </w:pPr>
      <w:r w:rsidRPr="00A62215">
        <w:rPr>
          <w:rFonts w:eastAsia="Calibri"/>
        </w:rPr>
        <w:br w:type="page"/>
      </w:r>
      <w:bookmarkStart w:id="74" w:name="_Toc243923459"/>
      <w:r w:rsidRPr="00A62215">
        <w:rPr>
          <w:rFonts w:eastAsia="Calibri"/>
        </w:rPr>
        <w:lastRenderedPageBreak/>
        <w:t>Leading across differences</w:t>
      </w:r>
      <w:bookmarkEnd w:id="74"/>
    </w:p>
    <w:p w14:paraId="7166D8BC" w14:textId="77777777" w:rsidR="00A62215" w:rsidRPr="00A62215" w:rsidRDefault="00A62215" w:rsidP="00810318">
      <w:pPr>
        <w:pStyle w:val="BodyCopy"/>
        <w:rPr>
          <w:rFonts w:eastAsia="Calibri"/>
        </w:rPr>
      </w:pPr>
      <w:r w:rsidRPr="00A62215">
        <w:rPr>
          <w:rFonts w:eastAsia="Calibri"/>
        </w:rPr>
        <w:t xml:space="preserve">Now we move into the main focus of Session 2: </w:t>
      </w:r>
      <w:r w:rsidRPr="00A62215">
        <w:rPr>
          <w:rFonts w:eastAsia="Calibri"/>
          <w:b/>
          <w:bCs/>
        </w:rPr>
        <w:t>leading across differences.</w:t>
      </w:r>
    </w:p>
    <w:p w14:paraId="11959D32" w14:textId="77777777" w:rsidR="00A62215" w:rsidRPr="00A62215" w:rsidRDefault="00A62215" w:rsidP="00810318">
      <w:pPr>
        <w:pStyle w:val="BodyCopy"/>
        <w:rPr>
          <w:rFonts w:eastAsia="Calibri"/>
        </w:rPr>
      </w:pPr>
      <w:r w:rsidRPr="00A62215">
        <w:rPr>
          <w:rFonts w:eastAsia="Calibri"/>
        </w:rPr>
        <w:t>Leading across differences is where inclusive leadership becomes visible in daily work.</w:t>
      </w:r>
    </w:p>
    <w:p w14:paraId="33BC50D2" w14:textId="77777777" w:rsidR="00A62215" w:rsidRPr="00A62215" w:rsidRDefault="00A62215" w:rsidP="00810318">
      <w:pPr>
        <w:pStyle w:val="BodyCopy"/>
        <w:rPr>
          <w:rFonts w:eastAsia="Calibri"/>
        </w:rPr>
      </w:pPr>
      <w:r w:rsidRPr="00A62215">
        <w:rPr>
          <w:rFonts w:eastAsia="Calibri"/>
        </w:rPr>
        <w:t>Differences show up across disability, culture, identity, role, communication style, power, lived experience, access to information, and proximity to decision-making.</w:t>
      </w:r>
    </w:p>
    <w:p w14:paraId="5A7550F8" w14:textId="77777777" w:rsidR="00A62215" w:rsidRPr="00A62215" w:rsidRDefault="00A62215" w:rsidP="00810318">
      <w:pPr>
        <w:pStyle w:val="BodyCopy"/>
        <w:rPr>
          <w:rFonts w:eastAsia="Calibri"/>
        </w:rPr>
      </w:pPr>
      <w:r w:rsidRPr="00A62215">
        <w:rPr>
          <w:rFonts w:eastAsia="Calibri"/>
        </w:rPr>
        <w:t>As leaders, we shape whether those differences are valued through how we design work, communicate expectations, facilitate meetings, make decisions, and respond to feedback.</w:t>
      </w:r>
    </w:p>
    <w:p w14:paraId="61B01B46" w14:textId="77777777" w:rsidR="00A62215" w:rsidRPr="00A62215" w:rsidRDefault="00A62215" w:rsidP="00810318">
      <w:pPr>
        <w:pStyle w:val="BodyCopy"/>
        <w:rPr>
          <w:rFonts w:eastAsia="Calibri"/>
        </w:rPr>
      </w:pPr>
      <w:r w:rsidRPr="00A62215">
        <w:rPr>
          <w:rFonts w:eastAsia="Calibri"/>
        </w:rPr>
        <w:t>So the practical question is: how do we design work so people can participate meaningfully?</w:t>
      </w:r>
    </w:p>
    <w:p w14:paraId="3C133CD3" w14:textId="77777777" w:rsidR="00A62215" w:rsidRPr="00A62215" w:rsidRDefault="00A62215" w:rsidP="00810318">
      <w:pPr>
        <w:pStyle w:val="BodyCopy"/>
        <w:rPr>
          <w:rFonts w:eastAsia="Calibri"/>
        </w:rPr>
      </w:pPr>
    </w:p>
    <w:p w14:paraId="49112FD0" w14:textId="77777777" w:rsidR="00A62215" w:rsidRPr="00A62215" w:rsidRDefault="00A62215" w:rsidP="00810318">
      <w:pPr>
        <w:pStyle w:val="BodyCopy"/>
        <w:rPr>
          <w:rFonts w:eastAsia="Calibri"/>
        </w:rPr>
      </w:pPr>
      <w:r w:rsidRPr="00A62215">
        <w:rPr>
          <w:rFonts w:eastAsia="Calibri"/>
        </w:rPr>
        <w:br w:type="page"/>
      </w:r>
    </w:p>
    <w:p w14:paraId="33640B24" w14:textId="77777777" w:rsidR="00A62215" w:rsidRPr="00A62215" w:rsidRDefault="00A62215" w:rsidP="00E406BE">
      <w:pPr>
        <w:pStyle w:val="Heading3"/>
        <w:rPr>
          <w:rFonts w:eastAsia="Calibri"/>
        </w:rPr>
      </w:pPr>
      <w:bookmarkStart w:id="75" w:name="_Toc243923460"/>
      <w:r w:rsidRPr="00A62215">
        <w:rPr>
          <w:rFonts w:eastAsia="Calibri"/>
        </w:rPr>
        <w:lastRenderedPageBreak/>
        <w:t>What shapes participation and voice?</w:t>
      </w:r>
      <w:bookmarkEnd w:id="75"/>
    </w:p>
    <w:p w14:paraId="200C2FFC" w14:textId="77777777" w:rsidR="00A62215" w:rsidRPr="00A62215" w:rsidRDefault="00A62215" w:rsidP="00810318">
      <w:pPr>
        <w:pStyle w:val="BodyCopy"/>
        <w:rPr>
          <w:rFonts w:eastAsia="Calibri"/>
        </w:rPr>
      </w:pPr>
      <w:r w:rsidRPr="00A62215">
        <w:rPr>
          <w:rFonts w:eastAsia="Calibri"/>
        </w:rPr>
        <w:t>Participation is shaped by more than whether someone was invited.</w:t>
      </w:r>
    </w:p>
    <w:p w14:paraId="0E998A1A" w14:textId="77777777" w:rsidR="00A62215" w:rsidRPr="00A62215" w:rsidRDefault="00A62215" w:rsidP="00810318">
      <w:pPr>
        <w:pStyle w:val="BodyCopy"/>
        <w:rPr>
          <w:rFonts w:eastAsia="Calibri"/>
        </w:rPr>
      </w:pPr>
      <w:r w:rsidRPr="00A62215">
        <w:rPr>
          <w:rFonts w:eastAsia="Calibri"/>
        </w:rPr>
        <w:t>It is shaped by power dynamics, informal norms, time pressure, meeting structures, communication practices, and access to information.</w:t>
      </w:r>
    </w:p>
    <w:p w14:paraId="3353B9B9" w14:textId="77777777" w:rsidR="00A62215" w:rsidRPr="00A62215" w:rsidRDefault="00A62215" w:rsidP="00810318">
      <w:pPr>
        <w:pStyle w:val="BodyCopy"/>
        <w:rPr>
          <w:rFonts w:eastAsia="Calibri"/>
        </w:rPr>
      </w:pPr>
      <w:r w:rsidRPr="00A62215">
        <w:rPr>
          <w:rFonts w:eastAsia="Calibri"/>
        </w:rPr>
        <w:t>It is also shaped by “the way things are usually done,” which can be very powerful because it often goes unnamed.</w:t>
      </w:r>
    </w:p>
    <w:p w14:paraId="2E08C37A" w14:textId="77777777" w:rsidR="00A62215" w:rsidRPr="00A62215" w:rsidRDefault="00A62215" w:rsidP="00810318">
      <w:pPr>
        <w:pStyle w:val="BodyCopy"/>
        <w:rPr>
          <w:rFonts w:eastAsia="Calibri"/>
        </w:rPr>
      </w:pPr>
      <w:r w:rsidRPr="00A62215">
        <w:rPr>
          <w:rFonts w:eastAsia="Calibri"/>
        </w:rPr>
        <w:t>Inclusive leadership asks us to slow down and notice who can participate, who is heard, and who actually shapes the outcome.</w:t>
      </w:r>
    </w:p>
    <w:p w14:paraId="213FEDEC" w14:textId="77777777" w:rsidR="00A62215" w:rsidRPr="00A62215" w:rsidRDefault="00A62215" w:rsidP="00810318">
      <w:pPr>
        <w:pStyle w:val="BodyCopy"/>
        <w:rPr>
          <w:rFonts w:eastAsia="Calibri"/>
        </w:rPr>
      </w:pPr>
      <w:r w:rsidRPr="00A62215">
        <w:rPr>
          <w:rFonts w:eastAsia="Calibri"/>
        </w:rPr>
        <w:t>This is where Session 1 connects directly to Session 2. Participation, accountability, and cultural humility become real through everyday leadership choices.</w:t>
      </w:r>
    </w:p>
    <w:p w14:paraId="2C973EF7" w14:textId="77777777" w:rsidR="00A62215" w:rsidRPr="00A62215" w:rsidRDefault="00A62215" w:rsidP="00810318">
      <w:pPr>
        <w:pStyle w:val="BodyCopy"/>
        <w:rPr>
          <w:rFonts w:ascii="Arial Black" w:eastAsia="Calibri" w:hAnsi="Arial Black"/>
          <w:b/>
          <w:sz w:val="56"/>
          <w:szCs w:val="56"/>
        </w:rPr>
      </w:pPr>
      <w:r w:rsidRPr="00A62215">
        <w:rPr>
          <w:rFonts w:ascii="Arial Black" w:eastAsia="Calibri" w:hAnsi="Arial Black"/>
          <w:b/>
          <w:sz w:val="56"/>
          <w:szCs w:val="56"/>
        </w:rPr>
        <w:br w:type="page"/>
      </w:r>
    </w:p>
    <w:p w14:paraId="41576777" w14:textId="77777777" w:rsidR="00A62215" w:rsidRPr="00A62215" w:rsidRDefault="00A62215" w:rsidP="00E406BE">
      <w:pPr>
        <w:pStyle w:val="Heading3"/>
        <w:rPr>
          <w:rFonts w:eastAsia="Calibri"/>
        </w:rPr>
      </w:pPr>
      <w:bookmarkStart w:id="76" w:name="_Toc243923461"/>
      <w:r w:rsidRPr="00A62215">
        <w:rPr>
          <w:rFonts w:eastAsia="Calibri"/>
        </w:rPr>
        <w:lastRenderedPageBreak/>
        <w:t>Leadership accountability</w:t>
      </w:r>
      <w:bookmarkEnd w:id="76"/>
    </w:p>
    <w:p w14:paraId="512922FC" w14:textId="77777777" w:rsidR="00A62215" w:rsidRPr="00A62215" w:rsidRDefault="00A62215" w:rsidP="00810318">
      <w:pPr>
        <w:pStyle w:val="BodyCopy"/>
        <w:rPr>
          <w:rFonts w:eastAsia="Calibri"/>
        </w:rPr>
      </w:pPr>
      <w:r w:rsidRPr="00A62215">
        <w:rPr>
          <w:rFonts w:eastAsia="Calibri"/>
        </w:rPr>
        <w:t>Accountability is often treated as blame.</w:t>
      </w:r>
    </w:p>
    <w:p w14:paraId="323006D3" w14:textId="77777777" w:rsidR="00A62215" w:rsidRPr="00A62215" w:rsidRDefault="00A62215" w:rsidP="00810318">
      <w:pPr>
        <w:pStyle w:val="BodyCopy"/>
        <w:rPr>
          <w:rFonts w:eastAsia="Calibri"/>
        </w:rPr>
      </w:pPr>
      <w:r w:rsidRPr="00A62215">
        <w:rPr>
          <w:rFonts w:eastAsia="Calibri"/>
        </w:rPr>
        <w:t xml:space="preserve">But accountability, especially in leadership, is not only about finding who is at fault. It is about understanding </w:t>
      </w:r>
      <w:r w:rsidRPr="00A62215">
        <w:rPr>
          <w:rFonts w:eastAsia="Calibri"/>
          <w:b/>
          <w:bCs/>
        </w:rPr>
        <w:t>what happened, what impact it had, what role we played, what needs to be repaired or clarified, and what action is needed next.</w:t>
      </w:r>
    </w:p>
    <w:p w14:paraId="778287FE" w14:textId="77777777" w:rsidR="00A62215" w:rsidRPr="00A62215" w:rsidRDefault="00A62215" w:rsidP="00810318">
      <w:pPr>
        <w:pStyle w:val="BodyCopy"/>
        <w:rPr>
          <w:rFonts w:eastAsia="Calibri"/>
        </w:rPr>
      </w:pPr>
      <w:r w:rsidRPr="00A62215">
        <w:rPr>
          <w:rFonts w:eastAsia="Calibri"/>
        </w:rPr>
        <w:t>This is very relevant to inclusive leadership because mistakes will happen. Gaps will happen. Barriers will be missed. A comment may land badly. A process may exclude someone. A decision may affect people differently than intended.</w:t>
      </w:r>
    </w:p>
    <w:p w14:paraId="65A81614" w14:textId="77777777" w:rsidR="00A62215" w:rsidRPr="00A62215" w:rsidRDefault="00A62215" w:rsidP="00810318">
      <w:pPr>
        <w:pStyle w:val="BodyCopy"/>
        <w:rPr>
          <w:rFonts w:eastAsia="Calibri"/>
        </w:rPr>
      </w:pPr>
      <w:r w:rsidRPr="00A62215">
        <w:rPr>
          <w:rFonts w:eastAsia="Calibri"/>
          <w:b/>
          <w:bCs/>
        </w:rPr>
        <w:t>The question is not:</w:t>
      </w:r>
      <w:r w:rsidRPr="00A62215">
        <w:rPr>
          <w:rFonts w:eastAsia="Calibri"/>
        </w:rPr>
        <w:t xml:space="preserve"> how do we make sure we never get feedback?</w:t>
      </w:r>
    </w:p>
    <w:p w14:paraId="7C63F260" w14:textId="77777777" w:rsidR="00A62215" w:rsidRPr="00A62215" w:rsidRDefault="00A62215" w:rsidP="00810318">
      <w:pPr>
        <w:pStyle w:val="BodyCopy"/>
        <w:rPr>
          <w:rFonts w:eastAsia="Calibri"/>
        </w:rPr>
        <w:sectPr w:rsidR="00A62215" w:rsidRPr="00A62215" w:rsidSect="00A62215">
          <w:pgSz w:w="15840" w:h="12240" w:orient="landscape"/>
          <w:pgMar w:top="1440" w:right="1440" w:bottom="1440" w:left="1080" w:header="270" w:footer="720" w:gutter="0"/>
          <w:cols w:space="720"/>
          <w:titlePg/>
          <w:docGrid w:linePitch="381"/>
        </w:sectPr>
      </w:pPr>
      <w:r w:rsidRPr="00A62215">
        <w:rPr>
          <w:rFonts w:eastAsia="Calibri"/>
          <w:b/>
          <w:bCs/>
        </w:rPr>
        <w:t>The question is:</w:t>
      </w:r>
      <w:r w:rsidRPr="00A62215">
        <w:rPr>
          <w:rFonts w:eastAsia="Calibri"/>
        </w:rPr>
        <w:t xml:space="preserve"> how do we build enough trust, humility, and accountability that feedback can lead to learning and change?</w:t>
      </w:r>
    </w:p>
    <w:p w14:paraId="21564968" w14:textId="77777777" w:rsidR="00A62215" w:rsidRPr="00A62215" w:rsidRDefault="00A62215" w:rsidP="00E406BE">
      <w:pPr>
        <w:pStyle w:val="Heading3"/>
        <w:rPr>
          <w:rFonts w:eastAsia="Calibri"/>
        </w:rPr>
      </w:pPr>
      <w:bookmarkStart w:id="77" w:name="_Toc243923462"/>
      <w:r w:rsidRPr="00A62215">
        <w:rPr>
          <w:rFonts w:eastAsia="Calibri"/>
        </w:rPr>
        <w:lastRenderedPageBreak/>
        <w:t>Accountability ladder (1)</w:t>
      </w:r>
      <w:bookmarkEnd w:id="77"/>
    </w:p>
    <w:p w14:paraId="064AF06E" w14:textId="77777777" w:rsidR="00A62215" w:rsidRPr="00A62215" w:rsidRDefault="00A62215" w:rsidP="00810318">
      <w:pPr>
        <w:pStyle w:val="BodyCopy"/>
        <w:rPr>
          <w:rFonts w:eastAsia="Calibri"/>
          <w:kern w:val="2"/>
          <w14:ligatures w14:val="standardContextual"/>
        </w:rPr>
      </w:pPr>
      <w:r w:rsidRPr="00A62215">
        <w:rPr>
          <w:rFonts w:eastAsia="Calibri"/>
        </w:rPr>
        <w:t>I first came across this framework in a recent leadership training.</w:t>
      </w:r>
    </w:p>
    <w:p w14:paraId="03F650AE" w14:textId="77777777" w:rsidR="00A62215" w:rsidRPr="00A62215" w:rsidRDefault="00A62215" w:rsidP="00810318">
      <w:pPr>
        <w:pStyle w:val="BodyCopy"/>
        <w:rPr>
          <w:rFonts w:eastAsia="Calibri"/>
          <w:kern w:val="2"/>
          <w14:ligatures w14:val="standardContextual"/>
        </w:rPr>
      </w:pPr>
      <w:r w:rsidRPr="00A62215">
        <w:rPr>
          <w:rFonts w:eastAsia="Calibri"/>
          <w:b/>
          <w:bCs/>
        </w:rPr>
        <w:t>The accountability ladder</w:t>
      </w:r>
      <w:r w:rsidRPr="00A62215">
        <w:rPr>
          <w:rFonts w:eastAsia="Calibri"/>
        </w:rPr>
        <w:t xml:space="preserve"> describes common reactions leaders may move through when an issue comes to their attention:</w:t>
      </w:r>
    </w:p>
    <w:p w14:paraId="1B81D6D7" w14:textId="77777777" w:rsidR="00A62215" w:rsidRPr="00A62215" w:rsidRDefault="00A62215" w:rsidP="00810318">
      <w:pPr>
        <w:pStyle w:val="BodyCopy"/>
        <w:rPr>
          <w:rFonts w:eastAsia="Calibri"/>
          <w:kern w:val="2"/>
          <w14:ligatures w14:val="standardContextual"/>
        </w:rPr>
      </w:pPr>
      <w:r w:rsidRPr="00A62215">
        <w:rPr>
          <w:rFonts w:eastAsia="Calibri"/>
        </w:rPr>
        <w:t>I didn’t know.</w:t>
      </w:r>
    </w:p>
    <w:p w14:paraId="5F1BAF59" w14:textId="77777777" w:rsidR="00A62215" w:rsidRPr="00A62215" w:rsidRDefault="00A62215" w:rsidP="00810318">
      <w:pPr>
        <w:pStyle w:val="BodyCopy"/>
        <w:rPr>
          <w:rFonts w:eastAsia="Calibri"/>
        </w:rPr>
      </w:pPr>
      <w:r w:rsidRPr="00A62215">
        <w:rPr>
          <w:rFonts w:eastAsia="Calibri"/>
        </w:rPr>
        <w:t>I blamed or minimized.</w:t>
      </w:r>
    </w:p>
    <w:p w14:paraId="4422E0D8" w14:textId="77777777" w:rsidR="00A62215" w:rsidRPr="00A62215" w:rsidRDefault="00A62215" w:rsidP="00810318">
      <w:pPr>
        <w:pStyle w:val="BodyCopy"/>
        <w:rPr>
          <w:rFonts w:eastAsia="Calibri"/>
        </w:rPr>
      </w:pPr>
      <w:r w:rsidRPr="00A62215">
        <w:rPr>
          <w:rFonts w:eastAsia="Calibri"/>
        </w:rPr>
        <w:t>I made excuses.</w:t>
      </w:r>
    </w:p>
    <w:p w14:paraId="09188D72" w14:textId="77777777" w:rsidR="00A62215" w:rsidRPr="00A62215" w:rsidRDefault="00A62215" w:rsidP="00810318">
      <w:pPr>
        <w:pStyle w:val="BodyCopy"/>
        <w:rPr>
          <w:rFonts w:eastAsia="Calibri"/>
        </w:rPr>
      </w:pPr>
      <w:r w:rsidRPr="00A62215">
        <w:rPr>
          <w:rFonts w:eastAsia="Calibri"/>
        </w:rPr>
        <w:t>I waited and hoped it would resolve itself.</w:t>
      </w:r>
    </w:p>
    <w:p w14:paraId="0DF71320" w14:textId="77777777" w:rsidR="00A62215" w:rsidRPr="00A62215" w:rsidRDefault="00A62215" w:rsidP="00810318">
      <w:pPr>
        <w:pStyle w:val="BodyCopy"/>
        <w:rPr>
          <w:rFonts w:eastAsia="Calibri"/>
        </w:rPr>
      </w:pPr>
      <w:r w:rsidRPr="00A62215">
        <w:rPr>
          <w:rFonts w:eastAsia="Calibri"/>
        </w:rPr>
        <w:t>I acknowledged what was happening.</w:t>
      </w:r>
    </w:p>
    <w:p w14:paraId="5AA57BC1" w14:textId="77777777" w:rsidR="00A62215" w:rsidRPr="00A62215" w:rsidRDefault="00A62215" w:rsidP="00810318">
      <w:pPr>
        <w:pStyle w:val="BodyCopy"/>
        <w:rPr>
          <w:rFonts w:eastAsia="Calibri"/>
        </w:rPr>
      </w:pPr>
      <w:r w:rsidRPr="00A62215">
        <w:rPr>
          <w:rFonts w:eastAsia="Calibri"/>
        </w:rPr>
        <w:t>I owned my role.</w:t>
      </w:r>
    </w:p>
    <w:p w14:paraId="19897FBF" w14:textId="77777777" w:rsidR="00A62215" w:rsidRPr="00A62215" w:rsidRDefault="00A62215" w:rsidP="00810318">
      <w:pPr>
        <w:pStyle w:val="BodyCopy"/>
        <w:rPr>
          <w:rFonts w:eastAsia="Calibri"/>
        </w:rPr>
      </w:pPr>
      <w:r w:rsidRPr="00A62215">
        <w:rPr>
          <w:rFonts w:eastAsia="Calibri"/>
        </w:rPr>
        <w:t>I looked for a solution.</w:t>
      </w:r>
    </w:p>
    <w:p w14:paraId="4AF673B0" w14:textId="77777777" w:rsidR="00A62215" w:rsidRPr="00A62215" w:rsidRDefault="00A62215" w:rsidP="00810318">
      <w:pPr>
        <w:pStyle w:val="BodyCopy"/>
        <w:rPr>
          <w:rFonts w:eastAsia="Calibri"/>
        </w:rPr>
        <w:sectPr w:rsidR="00A62215" w:rsidRPr="00A62215" w:rsidSect="00A62215">
          <w:pgSz w:w="15840" w:h="12240" w:orient="landscape"/>
          <w:pgMar w:top="1440" w:right="1440" w:bottom="1440" w:left="1080" w:header="270" w:footer="720" w:gutter="0"/>
          <w:cols w:space="720"/>
          <w:titlePg/>
          <w:docGrid w:linePitch="381"/>
        </w:sectPr>
      </w:pPr>
      <w:r w:rsidRPr="00A62215">
        <w:rPr>
          <w:rFonts w:eastAsia="Calibri"/>
        </w:rPr>
        <w:t>I acted…and followed through!</w:t>
      </w:r>
    </w:p>
    <w:p w14:paraId="6BC114B5" w14:textId="77777777" w:rsidR="00A62215" w:rsidRPr="00A62215" w:rsidRDefault="00A62215" w:rsidP="00E406BE">
      <w:pPr>
        <w:pStyle w:val="Heading3"/>
        <w:rPr>
          <w:rFonts w:eastAsia="Calibri"/>
        </w:rPr>
      </w:pPr>
      <w:bookmarkStart w:id="78" w:name="_Toc243923463"/>
      <w:r w:rsidRPr="00A62215">
        <w:rPr>
          <w:rFonts w:eastAsia="Calibri"/>
        </w:rPr>
        <w:lastRenderedPageBreak/>
        <w:t>Accountability ladder (2)</w:t>
      </w:r>
      <w:bookmarkEnd w:id="78"/>
    </w:p>
    <w:p w14:paraId="69444190" w14:textId="77777777" w:rsidR="00A62215" w:rsidRPr="00A62215" w:rsidRDefault="00A62215" w:rsidP="00810318">
      <w:pPr>
        <w:pStyle w:val="BodyCopy"/>
        <w:rPr>
          <w:rFonts w:eastAsia="Calibri"/>
        </w:rPr>
      </w:pPr>
      <w:r w:rsidRPr="00A62215">
        <w:rPr>
          <w:rFonts w:eastAsia="Calibri"/>
        </w:rPr>
        <w:t>At first, we may not know there is an issue. Once we know, we may still move through very human reactions: blaming, minimizing, making excuses, or waiting and hoping the problem quietly evaporates. That reaction is human. Most of us have had moments when our first internal response wasn’t exactly graceful.</w:t>
      </w:r>
    </w:p>
    <w:p w14:paraId="7A941B08" w14:textId="77777777" w:rsidR="00A62215" w:rsidRPr="00A62215" w:rsidRDefault="00A62215" w:rsidP="00810318">
      <w:pPr>
        <w:pStyle w:val="BodyCopy"/>
        <w:rPr>
          <w:rFonts w:eastAsia="Calibri"/>
        </w:rPr>
      </w:pPr>
      <w:r w:rsidRPr="00A62215">
        <w:rPr>
          <w:rFonts w:eastAsia="Calibri"/>
        </w:rPr>
        <w:t>Our goal is not shame…our goal should always be movement:</w:t>
      </w:r>
    </w:p>
    <w:p w14:paraId="1EDE0D6D" w14:textId="77777777" w:rsidR="00A62215" w:rsidRPr="00A62215" w:rsidRDefault="00A62215" w:rsidP="00810318">
      <w:pPr>
        <w:pStyle w:val="BodyCopy"/>
        <w:rPr>
          <w:rFonts w:eastAsia="Calibri"/>
        </w:rPr>
      </w:pPr>
      <w:r w:rsidRPr="00A62215">
        <w:rPr>
          <w:rFonts w:eastAsia="Calibri"/>
        </w:rPr>
        <w:t>Can we move from “I did not know” to “I understand something needs attention”?</w:t>
      </w:r>
    </w:p>
    <w:p w14:paraId="47B5CA77" w14:textId="77777777" w:rsidR="00A62215" w:rsidRPr="00A62215" w:rsidRDefault="00A62215" w:rsidP="00810318">
      <w:pPr>
        <w:pStyle w:val="BodyCopy"/>
        <w:rPr>
          <w:rFonts w:eastAsia="Calibri"/>
        </w:rPr>
      </w:pPr>
      <w:r w:rsidRPr="00A62215">
        <w:rPr>
          <w:rFonts w:eastAsia="Calibri"/>
        </w:rPr>
        <w:t>Can we move from defensiveness to ownership?</w:t>
      </w:r>
    </w:p>
    <w:p w14:paraId="24251617" w14:textId="77777777" w:rsidR="00A62215" w:rsidRPr="00A62215" w:rsidRDefault="00A62215" w:rsidP="00810318">
      <w:pPr>
        <w:pStyle w:val="BodyCopy"/>
        <w:rPr>
          <w:rFonts w:eastAsia="Calibri"/>
        </w:rPr>
      </w:pPr>
      <w:r w:rsidRPr="00A62215">
        <w:rPr>
          <w:rFonts w:eastAsia="Calibri"/>
        </w:rPr>
        <w:t>Can we move from ownership to solution?</w:t>
      </w:r>
    </w:p>
    <w:p w14:paraId="3DCD488C" w14:textId="77777777" w:rsidR="00A62215" w:rsidRPr="00A62215" w:rsidRDefault="00A62215" w:rsidP="00810318">
      <w:pPr>
        <w:pStyle w:val="BodyCopy"/>
        <w:rPr>
          <w:rFonts w:eastAsia="Calibri"/>
        </w:rPr>
      </w:pPr>
      <w:r w:rsidRPr="00A62215">
        <w:rPr>
          <w:rFonts w:eastAsia="Calibri"/>
        </w:rPr>
        <w:t>And can we move from solution to visible follow-through?</w:t>
      </w:r>
    </w:p>
    <w:p w14:paraId="0764F4AF" w14:textId="77777777" w:rsidR="00A62215" w:rsidRPr="00A62215" w:rsidRDefault="00A62215" w:rsidP="00810318">
      <w:pPr>
        <w:pStyle w:val="BodyCopy"/>
        <w:rPr>
          <w:rFonts w:eastAsia="Calibri"/>
        </w:rPr>
        <w:sectPr w:rsidR="00A62215" w:rsidRPr="00A62215" w:rsidSect="00A62215">
          <w:pgSz w:w="15840" w:h="12240" w:orient="landscape"/>
          <w:pgMar w:top="1440" w:right="1440" w:bottom="1440" w:left="1080" w:header="270" w:footer="720" w:gutter="0"/>
          <w:cols w:space="720"/>
          <w:titlePg/>
          <w:docGrid w:linePitch="381"/>
        </w:sectPr>
      </w:pPr>
      <w:r w:rsidRPr="00A62215">
        <w:rPr>
          <w:rFonts w:eastAsia="Calibri"/>
        </w:rPr>
        <w:t xml:space="preserve">That is the </w:t>
      </w:r>
      <w:r w:rsidRPr="00A62215">
        <w:rPr>
          <w:rFonts w:eastAsia="Calibri"/>
          <w:b/>
          <w:bCs/>
        </w:rPr>
        <w:t>inclusive leadership</w:t>
      </w:r>
      <w:r w:rsidRPr="00A62215">
        <w:rPr>
          <w:rFonts w:eastAsia="Calibri"/>
        </w:rPr>
        <w:t xml:space="preserve"> move.</w:t>
      </w:r>
    </w:p>
    <w:p w14:paraId="470B9E89" w14:textId="77777777" w:rsidR="00A62215" w:rsidRPr="00A62215" w:rsidRDefault="00A62215" w:rsidP="00E406BE">
      <w:pPr>
        <w:pStyle w:val="Heading3"/>
        <w:rPr>
          <w:rFonts w:eastAsia="Calibri"/>
        </w:rPr>
      </w:pPr>
      <w:bookmarkStart w:id="79" w:name="_Toc243923464"/>
      <w:r w:rsidRPr="00A62215">
        <w:rPr>
          <w:rFonts w:eastAsia="Calibri"/>
        </w:rPr>
        <w:lastRenderedPageBreak/>
        <w:t>Leaders are not neutral bystanders</w:t>
      </w:r>
      <w:bookmarkEnd w:id="79"/>
    </w:p>
    <w:p w14:paraId="23CDDA1E" w14:textId="77777777" w:rsidR="00A62215" w:rsidRPr="00A62215" w:rsidRDefault="00A62215" w:rsidP="00810318">
      <w:pPr>
        <w:pStyle w:val="BodyCopy"/>
        <w:rPr>
          <w:rFonts w:eastAsia="Calibri"/>
        </w:rPr>
      </w:pPr>
      <w:r w:rsidRPr="00A62215">
        <w:rPr>
          <w:rFonts w:eastAsia="Calibri"/>
        </w:rPr>
        <w:t xml:space="preserve">A key idea here is that </w:t>
      </w:r>
      <w:r w:rsidRPr="00A62215">
        <w:rPr>
          <w:rFonts w:eastAsia="Calibri"/>
          <w:b/>
          <w:bCs/>
        </w:rPr>
        <w:t>leaders are not neutral bystanders.</w:t>
      </w:r>
      <w:r w:rsidRPr="00A62215">
        <w:rPr>
          <w:rFonts w:eastAsia="Calibri"/>
        </w:rPr>
        <w:t xml:space="preserve"> This connects to relational follow-through: accountability is what we do after feedback, and what we do in the moment when accessibility, inclusion, or belonging are affected.</w:t>
      </w:r>
    </w:p>
    <w:p w14:paraId="2B357D67" w14:textId="77777777" w:rsidR="00A62215" w:rsidRPr="00A62215" w:rsidRDefault="00A62215" w:rsidP="00810318">
      <w:pPr>
        <w:pStyle w:val="BodyCopy"/>
        <w:rPr>
          <w:rFonts w:eastAsia="Calibri"/>
        </w:rPr>
      </w:pPr>
      <w:r w:rsidRPr="00A62215">
        <w:rPr>
          <w:rFonts w:eastAsia="Calibri"/>
        </w:rPr>
        <w:t>One line I often come back to is from Professor Nouman Ashraf: “Nobody is a passive recipient of organizational culture…because the behaviour we walk by is the culture we enable.”</w:t>
      </w:r>
    </w:p>
    <w:p w14:paraId="3E189D5A" w14:textId="77777777" w:rsidR="00A62215" w:rsidRPr="00A62215" w:rsidRDefault="00A62215" w:rsidP="00810318">
      <w:pPr>
        <w:pStyle w:val="BodyCopy"/>
        <w:rPr>
          <w:rFonts w:eastAsia="Calibri"/>
        </w:rPr>
      </w:pPr>
      <w:r w:rsidRPr="00A62215">
        <w:rPr>
          <w:rFonts w:eastAsia="Calibri"/>
        </w:rPr>
        <w:t>Leaders shape culture through what they notice, name, ignore, interrupt, reward, repair, and allow to continue.</w:t>
      </w:r>
    </w:p>
    <w:p w14:paraId="515963BB" w14:textId="77777777" w:rsidR="00A62215" w:rsidRPr="00A62215" w:rsidRDefault="00A62215" w:rsidP="00810318">
      <w:pPr>
        <w:pStyle w:val="BodyCopy"/>
        <w:rPr>
          <w:rFonts w:eastAsia="Calibri"/>
        </w:rPr>
      </w:pPr>
      <w:r w:rsidRPr="00A62215">
        <w:rPr>
          <w:rFonts w:eastAsia="Calibri"/>
        </w:rPr>
        <w:t>If a harmful comment happens and no one responds, people learn something. If accessibility needs are treated as inconvenient, people learn something.</w:t>
      </w:r>
    </w:p>
    <w:p w14:paraId="6D53D532" w14:textId="77777777" w:rsidR="00A62215" w:rsidRPr="00A62215" w:rsidRDefault="00A62215" w:rsidP="00810318">
      <w:pPr>
        <w:pStyle w:val="BodyCopy"/>
        <w:rPr>
          <w:rFonts w:eastAsia="Calibri"/>
        </w:rPr>
      </w:pPr>
      <w:r w:rsidRPr="00A62215">
        <w:rPr>
          <w:rFonts w:eastAsia="Calibri"/>
        </w:rPr>
        <w:t>Upstander leadership reminds us that small actions matter: a pause, a clarifying question, a redirect, or a follow-up afterward.</w:t>
      </w:r>
    </w:p>
    <w:p w14:paraId="4426DE51" w14:textId="77777777" w:rsidR="00A62215" w:rsidRPr="00A62215" w:rsidRDefault="00A62215" w:rsidP="00810318">
      <w:pPr>
        <w:pStyle w:val="BodyCopy"/>
        <w:rPr>
          <w:rFonts w:eastAsia="Calibri"/>
        </w:rPr>
        <w:sectPr w:rsidR="00A62215" w:rsidRPr="00A62215" w:rsidSect="00A62215">
          <w:pgSz w:w="15840" w:h="12240" w:orient="landscape"/>
          <w:pgMar w:top="1440" w:right="1440" w:bottom="1440" w:left="1080" w:header="270" w:footer="720" w:gutter="0"/>
          <w:cols w:space="720"/>
          <w:titlePg/>
          <w:docGrid w:linePitch="381"/>
        </w:sectPr>
      </w:pPr>
      <w:r w:rsidRPr="00A62215">
        <w:rPr>
          <w:rFonts w:eastAsia="Calibri"/>
        </w:rPr>
        <w:t>Small actions change the signal. Over time, those signals become culture.</w:t>
      </w:r>
    </w:p>
    <w:p w14:paraId="222BACB5" w14:textId="77777777" w:rsidR="00A62215" w:rsidRPr="00A62215" w:rsidRDefault="00A62215" w:rsidP="00E406BE">
      <w:pPr>
        <w:pStyle w:val="Heading3"/>
        <w:rPr>
          <w:rFonts w:eastAsia="Calibri"/>
        </w:rPr>
      </w:pPr>
      <w:bookmarkStart w:id="80" w:name="_Toc243923465"/>
      <w:r w:rsidRPr="00A62215">
        <w:rPr>
          <w:rFonts w:eastAsia="Calibri"/>
        </w:rPr>
        <w:lastRenderedPageBreak/>
        <w:t>Upstander vs bystander intervention</w:t>
      </w:r>
      <w:bookmarkEnd w:id="80"/>
    </w:p>
    <w:p w14:paraId="008D6916" w14:textId="77777777" w:rsidR="00A62215" w:rsidRPr="00A62215" w:rsidRDefault="00A62215" w:rsidP="00810318">
      <w:pPr>
        <w:pStyle w:val="BodyCopy"/>
        <w:rPr>
          <w:rFonts w:eastAsia="Calibri"/>
        </w:rPr>
      </w:pPr>
      <w:r w:rsidRPr="00A62215">
        <w:rPr>
          <w:rFonts w:eastAsia="Calibri"/>
        </w:rPr>
        <w:t>An upstander is someone who notices bias, inaccessibility, exclusion or disrespect and chooses to act. That is the shift from bystander to upstander. A bystander may see something happening and stay silent or unsure. An upstander recognizes that silence also communicates something, especially in leadership.</w:t>
      </w:r>
    </w:p>
    <w:p w14:paraId="4C050F7D" w14:textId="77777777" w:rsidR="00A62215" w:rsidRPr="00A62215" w:rsidRDefault="00A62215" w:rsidP="00810318">
      <w:pPr>
        <w:pStyle w:val="BodyCopy"/>
        <w:rPr>
          <w:rFonts w:eastAsia="Calibri"/>
        </w:rPr>
      </w:pPr>
      <w:r w:rsidRPr="00A62215">
        <w:rPr>
          <w:rFonts w:eastAsia="Calibri"/>
        </w:rPr>
        <w:t>This does not mean every response needs to be big or confrontational. Often, the most effective response is calm, curious, and clear.</w:t>
      </w:r>
    </w:p>
    <w:p w14:paraId="7930057A" w14:textId="77777777" w:rsidR="00A62215" w:rsidRPr="00A62215" w:rsidRDefault="00A62215" w:rsidP="00810318">
      <w:pPr>
        <w:pStyle w:val="BodyCopy"/>
        <w:rPr>
          <w:rFonts w:eastAsia="Calibri"/>
        </w:rPr>
      </w:pPr>
      <w:r w:rsidRPr="00A62215">
        <w:rPr>
          <w:rFonts w:eastAsia="Calibri"/>
        </w:rPr>
        <w:t>For leaders, upstander behaviour might sound like: “Can we pause there?” or “Can you say more about what you meant?” or “I want to make sure we come back to the concern that was raised.”</w:t>
      </w:r>
    </w:p>
    <w:p w14:paraId="424F012C" w14:textId="77777777" w:rsidR="00A62215" w:rsidRPr="00A62215" w:rsidRDefault="00A62215" w:rsidP="00810318">
      <w:pPr>
        <w:pStyle w:val="BodyCopy"/>
        <w:rPr>
          <w:rFonts w:eastAsia="Calibri"/>
        </w:rPr>
      </w:pPr>
      <w:r w:rsidRPr="00A62215">
        <w:rPr>
          <w:rFonts w:eastAsia="Calibri"/>
        </w:rPr>
        <w:t>It might also mean redirecting attention back to someone who was interrupted, checking in afterward, or following up when something needs repair.</w:t>
      </w:r>
    </w:p>
    <w:p w14:paraId="6BECC588" w14:textId="77777777" w:rsidR="00A62215" w:rsidRPr="00A62215" w:rsidRDefault="00A62215" w:rsidP="00810318">
      <w:pPr>
        <w:pStyle w:val="BodyCopy"/>
        <w:rPr>
          <w:rFonts w:eastAsia="Calibri"/>
        </w:rPr>
        <w:sectPr w:rsidR="00A62215" w:rsidRPr="00A62215" w:rsidSect="00A62215">
          <w:pgSz w:w="15840" w:h="12240" w:orient="landscape"/>
          <w:pgMar w:top="1440" w:right="1440" w:bottom="1440" w:left="1080" w:header="270" w:footer="720" w:gutter="0"/>
          <w:cols w:space="720"/>
          <w:titlePg/>
          <w:docGrid w:linePitch="381"/>
        </w:sectPr>
      </w:pPr>
      <w:r w:rsidRPr="00A62215">
        <w:rPr>
          <w:rFonts w:eastAsia="Calibri"/>
        </w:rPr>
        <w:t>Upstander leadership is not about moral heroics. It is about taking responsibility for the culture we are helping create.</w:t>
      </w:r>
    </w:p>
    <w:p w14:paraId="7562D65C" w14:textId="77777777" w:rsidR="00A62215" w:rsidRPr="00A62215" w:rsidRDefault="00A62215" w:rsidP="00E406BE">
      <w:pPr>
        <w:pStyle w:val="Heading3"/>
        <w:rPr>
          <w:rFonts w:eastAsia="Calibri"/>
        </w:rPr>
      </w:pPr>
      <w:bookmarkStart w:id="81" w:name="_Toc243923466"/>
      <w:r w:rsidRPr="00A62215">
        <w:rPr>
          <w:rFonts w:eastAsia="Calibri"/>
        </w:rPr>
        <w:lastRenderedPageBreak/>
        <w:t>Practical language for everyday moments</w:t>
      </w:r>
      <w:bookmarkEnd w:id="81"/>
    </w:p>
    <w:p w14:paraId="6BC66D3F" w14:textId="77777777" w:rsidR="00A62215" w:rsidRPr="00A62215" w:rsidRDefault="00A62215" w:rsidP="00810318">
      <w:pPr>
        <w:pStyle w:val="BodyCopy"/>
        <w:rPr>
          <w:rFonts w:eastAsia="Calibri"/>
        </w:rPr>
      </w:pPr>
      <w:r w:rsidRPr="00A62215">
        <w:rPr>
          <w:rFonts w:eastAsia="Calibri"/>
        </w:rPr>
        <w:t>Here are some practical phrases.</w:t>
      </w:r>
    </w:p>
    <w:p w14:paraId="365A0465" w14:textId="77777777" w:rsidR="00A62215" w:rsidRPr="00A62215" w:rsidRDefault="00A62215" w:rsidP="00810318">
      <w:pPr>
        <w:pStyle w:val="BodyCopy"/>
        <w:rPr>
          <w:rFonts w:eastAsia="Calibri"/>
        </w:rPr>
      </w:pPr>
      <w:r w:rsidRPr="00A62215">
        <w:rPr>
          <w:rFonts w:eastAsia="Calibri"/>
        </w:rPr>
        <w:t>You do not need to use these exact words. The goal is to have language ready:</w:t>
      </w:r>
    </w:p>
    <w:p w14:paraId="36676FEF" w14:textId="77777777" w:rsidR="00A62215" w:rsidRPr="00A62215" w:rsidRDefault="00A62215" w:rsidP="00810318">
      <w:pPr>
        <w:pStyle w:val="BodyCopy"/>
        <w:rPr>
          <w:rFonts w:eastAsia="Calibri"/>
        </w:rPr>
      </w:pPr>
      <w:r w:rsidRPr="00A62215">
        <w:rPr>
          <w:rFonts w:eastAsia="Calibri"/>
        </w:rPr>
        <w:t>“Let’s pause there.”</w:t>
      </w:r>
    </w:p>
    <w:p w14:paraId="393DE41D" w14:textId="77777777" w:rsidR="00A62215" w:rsidRPr="00A62215" w:rsidRDefault="00A62215" w:rsidP="00810318">
      <w:pPr>
        <w:pStyle w:val="BodyCopy"/>
        <w:rPr>
          <w:rFonts w:eastAsia="Calibri"/>
        </w:rPr>
      </w:pPr>
      <w:r w:rsidRPr="00A62215">
        <w:rPr>
          <w:rFonts w:eastAsia="Calibri"/>
        </w:rPr>
        <w:t>“I want to check the impact of that.”</w:t>
      </w:r>
    </w:p>
    <w:p w14:paraId="16650088" w14:textId="77777777" w:rsidR="00A62215" w:rsidRPr="00A62215" w:rsidRDefault="00A62215" w:rsidP="00810318">
      <w:pPr>
        <w:pStyle w:val="BodyCopy"/>
        <w:rPr>
          <w:rFonts w:eastAsia="Calibri"/>
        </w:rPr>
      </w:pPr>
      <w:r w:rsidRPr="00A62215">
        <w:rPr>
          <w:rFonts w:eastAsia="Calibri"/>
        </w:rPr>
        <w:t>“Can we make space for the person who was speaking?”</w:t>
      </w:r>
    </w:p>
    <w:p w14:paraId="3BD22CA3" w14:textId="77777777" w:rsidR="00A62215" w:rsidRPr="00A62215" w:rsidRDefault="00A62215" w:rsidP="00810318">
      <w:pPr>
        <w:pStyle w:val="BodyCopy"/>
        <w:rPr>
          <w:rFonts w:eastAsia="Calibri"/>
        </w:rPr>
      </w:pPr>
      <w:r w:rsidRPr="00A62215">
        <w:rPr>
          <w:rFonts w:eastAsia="Calibri"/>
        </w:rPr>
        <w:t>“I want to bring us back to the concern that was raised.”</w:t>
      </w:r>
    </w:p>
    <w:p w14:paraId="09072AC8" w14:textId="77777777" w:rsidR="00A62215" w:rsidRPr="00A62215" w:rsidRDefault="00A62215" w:rsidP="00810318">
      <w:pPr>
        <w:pStyle w:val="BodyCopy"/>
        <w:rPr>
          <w:rFonts w:eastAsia="Calibri"/>
        </w:rPr>
      </w:pPr>
      <w:r w:rsidRPr="00A62215">
        <w:rPr>
          <w:rFonts w:eastAsia="Calibri"/>
        </w:rPr>
        <w:t>“I do not want us to move past that too quickly.”</w:t>
      </w:r>
    </w:p>
    <w:p w14:paraId="7300EBA8" w14:textId="77777777" w:rsidR="00A62215" w:rsidRPr="00A62215" w:rsidRDefault="00A62215" w:rsidP="00810318">
      <w:pPr>
        <w:pStyle w:val="BodyCopy"/>
        <w:rPr>
          <w:rFonts w:eastAsia="Calibri"/>
        </w:rPr>
      </w:pPr>
      <w:r w:rsidRPr="00A62215">
        <w:rPr>
          <w:rFonts w:eastAsia="Calibri"/>
        </w:rPr>
        <w:t>“Let’s clarify what we mean before we continue.”</w:t>
      </w:r>
    </w:p>
    <w:p w14:paraId="055D844C" w14:textId="77777777" w:rsidR="00A62215" w:rsidRPr="00A62215" w:rsidRDefault="00A62215" w:rsidP="00810318">
      <w:pPr>
        <w:pStyle w:val="BodyCopy"/>
        <w:rPr>
          <w:rFonts w:eastAsia="Calibri"/>
        </w:rPr>
      </w:pPr>
      <w:r w:rsidRPr="00A62215">
        <w:rPr>
          <w:rFonts w:eastAsia="Calibri"/>
        </w:rPr>
        <w:t>“I will follow up after this conversation.”</w:t>
      </w:r>
    </w:p>
    <w:p w14:paraId="6FA8F940" w14:textId="77777777" w:rsidR="00A62215" w:rsidRPr="00A62215" w:rsidRDefault="00A62215" w:rsidP="00810318">
      <w:pPr>
        <w:pStyle w:val="BodyCopy"/>
        <w:rPr>
          <w:rFonts w:eastAsia="Calibri"/>
        </w:rPr>
      </w:pPr>
      <w:r w:rsidRPr="00A62215">
        <w:rPr>
          <w:rFonts w:eastAsia="Calibri"/>
        </w:rPr>
        <w:t>These are small phrases, but they create intervention or interruption points. They slow us down. They make space for understanding. And they signal that inclusion is not just a value statement; it is something we practice in real time.</w:t>
      </w:r>
      <w:r w:rsidRPr="00A62215">
        <w:rPr>
          <w:rFonts w:eastAsia="Calibri"/>
        </w:rPr>
        <w:br w:type="page"/>
      </w:r>
    </w:p>
    <w:p w14:paraId="406EFB72" w14:textId="77777777" w:rsidR="00A62215" w:rsidRPr="00A62215" w:rsidRDefault="00A62215" w:rsidP="00E406BE">
      <w:pPr>
        <w:pStyle w:val="Heading3"/>
        <w:rPr>
          <w:rFonts w:eastAsia="Calibri"/>
        </w:rPr>
      </w:pPr>
      <w:bookmarkStart w:id="82" w:name="_Toc243923467"/>
      <w:r w:rsidRPr="00A62215">
        <w:rPr>
          <w:rFonts w:eastAsia="Calibri"/>
        </w:rPr>
        <w:lastRenderedPageBreak/>
        <w:t>Accessibility and inclusion as everyday leadership</w:t>
      </w:r>
      <w:bookmarkEnd w:id="82"/>
    </w:p>
    <w:p w14:paraId="7CB10D2B" w14:textId="77777777" w:rsidR="00A62215" w:rsidRPr="00A62215" w:rsidRDefault="00A62215" w:rsidP="00810318">
      <w:pPr>
        <w:pStyle w:val="BodyCopy"/>
        <w:rPr>
          <w:rFonts w:eastAsia="Calibri"/>
        </w:rPr>
      </w:pPr>
      <w:r w:rsidRPr="00A62215">
        <w:rPr>
          <w:rFonts w:eastAsia="Calibri"/>
        </w:rPr>
        <w:t>Accessibility and inclusion is about how organizations plan, communicate, design, share information, facilitate It is about how organizations plan, communicate, design, share information, facilitate meetings, make decisions, and follow through.</w:t>
      </w:r>
    </w:p>
    <w:p w14:paraId="2F5312C6" w14:textId="77777777" w:rsidR="00A62215" w:rsidRPr="00A62215" w:rsidRDefault="00A62215" w:rsidP="00810318">
      <w:pPr>
        <w:pStyle w:val="BodyCopy"/>
        <w:rPr>
          <w:rFonts w:eastAsia="Calibri"/>
        </w:rPr>
      </w:pPr>
      <w:r w:rsidRPr="00A62215">
        <w:rPr>
          <w:rFonts w:eastAsia="Calibri"/>
        </w:rPr>
        <w:t xml:space="preserve">To help make this more practical, we are introducing the </w:t>
      </w:r>
      <w:r w:rsidRPr="00A62215">
        <w:rPr>
          <w:rFonts w:eastAsia="Calibri"/>
          <w:b/>
          <w:bCs/>
        </w:rPr>
        <w:t>Accessibility and Inclusion Competencies Framework</w:t>
      </w:r>
      <w:r w:rsidRPr="00A62215">
        <w:rPr>
          <w:rFonts w:eastAsia="Calibri"/>
        </w:rPr>
        <w:t>.</w:t>
      </w:r>
    </w:p>
    <w:p w14:paraId="2103FBFD" w14:textId="77777777" w:rsidR="00A62215" w:rsidRPr="00A62215" w:rsidRDefault="00A62215" w:rsidP="00810318">
      <w:pPr>
        <w:pStyle w:val="BodyCopy"/>
        <w:rPr>
          <w:rFonts w:eastAsia="Calibri"/>
        </w:rPr>
      </w:pPr>
      <w:r w:rsidRPr="00A62215">
        <w:rPr>
          <w:rFonts w:eastAsia="Calibri"/>
        </w:rPr>
        <w:t>This is a new tool developed through:</w:t>
      </w:r>
    </w:p>
    <w:p w14:paraId="30E6EC62" w14:textId="77777777" w:rsidR="00A62215" w:rsidRPr="00A62215" w:rsidRDefault="00A62215" w:rsidP="00810318">
      <w:pPr>
        <w:pStyle w:val="BodyCopy"/>
        <w:rPr>
          <w:rFonts w:eastAsia="Calibri"/>
        </w:rPr>
      </w:pPr>
      <w:r w:rsidRPr="00A62215">
        <w:rPr>
          <w:rFonts w:eastAsia="Calibri"/>
        </w:rPr>
        <w:t xml:space="preserve">Research and evidence review </w:t>
      </w:r>
    </w:p>
    <w:p w14:paraId="26072C6B" w14:textId="77777777" w:rsidR="00A62215" w:rsidRPr="00A62215" w:rsidRDefault="00A62215" w:rsidP="00810318">
      <w:pPr>
        <w:pStyle w:val="BodyCopy"/>
        <w:rPr>
          <w:rFonts w:eastAsia="Calibri"/>
        </w:rPr>
      </w:pPr>
      <w:r w:rsidRPr="00A62215">
        <w:rPr>
          <w:rFonts w:eastAsia="Calibri"/>
        </w:rPr>
        <w:t xml:space="preserve">Co-design and lived experience input </w:t>
      </w:r>
    </w:p>
    <w:p w14:paraId="7C3FBCEA" w14:textId="77777777" w:rsidR="00A62215" w:rsidRPr="00A62215" w:rsidRDefault="00A62215" w:rsidP="00810318">
      <w:pPr>
        <w:pStyle w:val="BodyCopy"/>
        <w:rPr>
          <w:rFonts w:eastAsia="Calibri"/>
        </w:rPr>
      </w:pPr>
      <w:r w:rsidRPr="00A62215">
        <w:rPr>
          <w:rFonts w:eastAsia="Calibri"/>
        </w:rPr>
        <w:t xml:space="preserve">Work with the research team </w:t>
      </w:r>
    </w:p>
    <w:p w14:paraId="343F581E" w14:textId="77777777" w:rsidR="00A62215" w:rsidRPr="00A62215" w:rsidRDefault="00A62215" w:rsidP="00810318">
      <w:pPr>
        <w:pStyle w:val="BodyCopy"/>
        <w:rPr>
          <w:rFonts w:eastAsia="Calibri"/>
        </w:rPr>
      </w:pPr>
      <w:r w:rsidRPr="00A62215">
        <w:rPr>
          <w:rFonts w:eastAsia="Calibri"/>
        </w:rPr>
        <w:t xml:space="preserve">Contributions from the Accessibility Task Force </w:t>
      </w:r>
    </w:p>
    <w:p w14:paraId="7D243B28" w14:textId="77777777" w:rsidR="00A62215" w:rsidRPr="00A62215" w:rsidRDefault="00A62215" w:rsidP="00810318">
      <w:pPr>
        <w:pStyle w:val="BodyCopy"/>
        <w:rPr>
          <w:rFonts w:eastAsia="Calibri"/>
        </w:rPr>
      </w:pPr>
      <w:r w:rsidRPr="00A62215">
        <w:rPr>
          <w:rFonts w:eastAsia="Calibri"/>
        </w:rPr>
        <w:t xml:space="preserve">Practical learning from accessibility work across systems, roles, and teams </w:t>
      </w:r>
    </w:p>
    <w:p w14:paraId="75F5AF30" w14:textId="77777777" w:rsidR="00E406BE" w:rsidRDefault="00E406BE">
      <w:pPr>
        <w:rPr>
          <w:rFonts w:ascii="Arial" w:eastAsia="Calibri" w:hAnsi="Arial" w:cs="Arial"/>
          <w:b/>
          <w:bCs/>
          <w:sz w:val="32"/>
          <w:szCs w:val="32"/>
        </w:rPr>
      </w:pPr>
      <w:r>
        <w:rPr>
          <w:rFonts w:eastAsia="Calibri"/>
        </w:rPr>
        <w:br w:type="page"/>
      </w:r>
    </w:p>
    <w:p w14:paraId="71FE5993" w14:textId="5BB2D080" w:rsidR="00A62215" w:rsidRPr="00A62215" w:rsidRDefault="00A62215" w:rsidP="00E406BE">
      <w:pPr>
        <w:pStyle w:val="Heading3"/>
        <w:rPr>
          <w:rFonts w:eastAsia="Calibri"/>
        </w:rPr>
      </w:pPr>
      <w:bookmarkStart w:id="83" w:name="_Toc243923468"/>
      <w:r w:rsidRPr="00A62215">
        <w:rPr>
          <w:rFonts w:eastAsia="Calibri"/>
        </w:rPr>
        <w:lastRenderedPageBreak/>
        <w:t>Framework at a glance</w:t>
      </w:r>
      <w:bookmarkEnd w:id="83"/>
    </w:p>
    <w:p w14:paraId="45BF59E8" w14:textId="77777777" w:rsidR="00A62215" w:rsidRPr="00A62215" w:rsidRDefault="00A62215" w:rsidP="00810318">
      <w:pPr>
        <w:pStyle w:val="BodyCopy"/>
        <w:rPr>
          <w:rFonts w:eastAsia="Calibri"/>
        </w:rPr>
      </w:pPr>
      <w:r w:rsidRPr="00A62215">
        <w:rPr>
          <w:rFonts w:eastAsia="Calibri"/>
        </w:rPr>
        <w:t>The framework includes five domains and four developmental levels. The domains describe where accessibility capability shows up. The levels describe how competency deepens over time.</w:t>
      </w:r>
    </w:p>
    <w:p w14:paraId="58E8FCB6" w14:textId="77777777" w:rsidR="00A62215" w:rsidRPr="00A62215" w:rsidRDefault="00A62215" w:rsidP="00810318">
      <w:pPr>
        <w:pStyle w:val="BodyCopy"/>
        <w:rPr>
          <w:rFonts w:eastAsia="Calibri"/>
          <w:b/>
          <w:bCs/>
        </w:rPr>
      </w:pPr>
      <w:r w:rsidRPr="00A62215">
        <w:rPr>
          <w:rFonts w:eastAsia="Calibri"/>
          <w:b/>
          <w:bCs/>
        </w:rPr>
        <w:t>Five domains</w:t>
      </w:r>
    </w:p>
    <w:tbl>
      <w:tblPr>
        <w:tblStyle w:val="TableGrid1"/>
        <w:tblW w:w="5000" w:type="pct"/>
        <w:jc w:val="center"/>
        <w:tblLook w:val="04A0" w:firstRow="1" w:lastRow="0" w:firstColumn="1" w:lastColumn="0" w:noHBand="0" w:noVBand="1"/>
      </w:tblPr>
      <w:tblGrid>
        <w:gridCol w:w="4341"/>
        <w:gridCol w:w="4342"/>
        <w:gridCol w:w="4339"/>
      </w:tblGrid>
      <w:tr w:rsidR="00A62215" w:rsidRPr="00A62215" w14:paraId="1C22D31C" w14:textId="77777777" w:rsidTr="005B49EE">
        <w:trPr>
          <w:tblHeader/>
          <w:jc w:val="center"/>
        </w:trPr>
        <w:tc>
          <w:tcPr>
            <w:tcW w:w="1667" w:type="pct"/>
            <w:shd w:val="clear" w:color="auto" w:fill="FFF220"/>
          </w:tcPr>
          <w:p w14:paraId="7D33AD60" w14:textId="77777777" w:rsidR="00A62215" w:rsidRPr="00A62215" w:rsidRDefault="00A62215" w:rsidP="00810318">
            <w:pPr>
              <w:pStyle w:val="BodyCopy"/>
              <w:rPr>
                <w:b/>
                <w:bCs/>
              </w:rPr>
            </w:pPr>
            <w:r w:rsidRPr="00A62215">
              <w:rPr>
                <w:b/>
                <w:bCs/>
              </w:rPr>
              <w:t>Domain</w:t>
            </w:r>
          </w:p>
        </w:tc>
        <w:tc>
          <w:tcPr>
            <w:tcW w:w="1667" w:type="pct"/>
            <w:shd w:val="clear" w:color="auto" w:fill="FFF220"/>
          </w:tcPr>
          <w:p w14:paraId="428F4538" w14:textId="77777777" w:rsidR="00A62215" w:rsidRPr="00A62215" w:rsidRDefault="00A62215" w:rsidP="00810318">
            <w:pPr>
              <w:pStyle w:val="BodyCopy"/>
              <w:rPr>
                <w:b/>
                <w:bCs/>
              </w:rPr>
            </w:pPr>
            <w:r w:rsidRPr="00A62215">
              <w:rPr>
                <w:b/>
                <w:bCs/>
              </w:rPr>
              <w:t>Focus</w:t>
            </w:r>
          </w:p>
        </w:tc>
        <w:tc>
          <w:tcPr>
            <w:tcW w:w="1667" w:type="pct"/>
            <w:shd w:val="clear" w:color="auto" w:fill="FFF220"/>
          </w:tcPr>
          <w:p w14:paraId="0D5F4D3D" w14:textId="77777777" w:rsidR="00A62215" w:rsidRPr="00A62215" w:rsidRDefault="00A62215" w:rsidP="00810318">
            <w:pPr>
              <w:pStyle w:val="BodyCopy"/>
              <w:rPr>
                <w:b/>
                <w:bCs/>
              </w:rPr>
            </w:pPr>
            <w:r w:rsidRPr="00A62215">
              <w:rPr>
                <w:b/>
                <w:bCs/>
              </w:rPr>
              <w:t>Guiding question</w:t>
            </w:r>
          </w:p>
        </w:tc>
      </w:tr>
      <w:tr w:rsidR="00A62215" w:rsidRPr="00A62215" w14:paraId="2353BBB1" w14:textId="77777777" w:rsidTr="005B49EE">
        <w:trPr>
          <w:jc w:val="center"/>
        </w:trPr>
        <w:tc>
          <w:tcPr>
            <w:tcW w:w="1667" w:type="pct"/>
            <w:shd w:val="clear" w:color="auto" w:fill="FFF220"/>
          </w:tcPr>
          <w:p w14:paraId="7F09AA9E" w14:textId="77777777" w:rsidR="00A62215" w:rsidRPr="00A62215" w:rsidRDefault="00A62215" w:rsidP="00810318">
            <w:pPr>
              <w:pStyle w:val="BodyCopy"/>
            </w:pPr>
            <w:r w:rsidRPr="00A62215">
              <w:t>1. Co-design and lived experience partnership</w:t>
            </w:r>
          </w:p>
        </w:tc>
        <w:tc>
          <w:tcPr>
            <w:tcW w:w="1667" w:type="pct"/>
          </w:tcPr>
          <w:p w14:paraId="30E35A3F" w14:textId="77777777" w:rsidR="00A62215" w:rsidRPr="00A62215" w:rsidRDefault="00A62215" w:rsidP="00810318">
            <w:pPr>
              <w:pStyle w:val="BodyCopy"/>
            </w:pPr>
            <w:r w:rsidRPr="00A62215">
              <w:t>Inclusion of lived experience as expertise in decision-making processes.</w:t>
            </w:r>
          </w:p>
        </w:tc>
        <w:tc>
          <w:tcPr>
            <w:tcW w:w="1667" w:type="pct"/>
          </w:tcPr>
          <w:p w14:paraId="1D09FDA1" w14:textId="77777777" w:rsidR="00A62215" w:rsidRPr="00A62215" w:rsidRDefault="00A62215" w:rsidP="00810318">
            <w:pPr>
              <w:pStyle w:val="BodyCopy"/>
            </w:pPr>
            <w:r w:rsidRPr="00A62215">
              <w:t>How do we work in partnership with people with lived experience of disability to shape decisions that affect accessibility outcomes?</w:t>
            </w:r>
          </w:p>
        </w:tc>
      </w:tr>
      <w:tr w:rsidR="00A62215" w:rsidRPr="00A62215" w14:paraId="7A6AA813" w14:textId="77777777" w:rsidTr="005B49EE">
        <w:trPr>
          <w:jc w:val="center"/>
        </w:trPr>
        <w:tc>
          <w:tcPr>
            <w:tcW w:w="1667" w:type="pct"/>
            <w:shd w:val="clear" w:color="auto" w:fill="FFF220"/>
          </w:tcPr>
          <w:p w14:paraId="5E544399" w14:textId="77777777" w:rsidR="00A62215" w:rsidRPr="00A62215" w:rsidRDefault="00A62215" w:rsidP="00810318">
            <w:pPr>
              <w:pStyle w:val="BodyCopy"/>
            </w:pPr>
            <w:r w:rsidRPr="00A62215">
              <w:t>2. Born-accessible design</w:t>
            </w:r>
          </w:p>
        </w:tc>
        <w:tc>
          <w:tcPr>
            <w:tcW w:w="1667" w:type="pct"/>
          </w:tcPr>
          <w:p w14:paraId="61B23DAA" w14:textId="77777777" w:rsidR="00A62215" w:rsidRPr="00A62215" w:rsidRDefault="00A62215" w:rsidP="00810318">
            <w:pPr>
              <w:pStyle w:val="BodyCopy"/>
            </w:pPr>
            <w:r w:rsidRPr="00A62215">
              <w:t>Proactive integration of accessibility considerations into planning and design processes.</w:t>
            </w:r>
          </w:p>
        </w:tc>
        <w:tc>
          <w:tcPr>
            <w:tcW w:w="1667" w:type="pct"/>
          </w:tcPr>
          <w:p w14:paraId="0DF490FB" w14:textId="77777777" w:rsidR="00A62215" w:rsidRPr="00A62215" w:rsidRDefault="00A62215" w:rsidP="00810318">
            <w:pPr>
              <w:pStyle w:val="BodyCopy"/>
            </w:pPr>
            <w:r w:rsidRPr="00A62215">
              <w:t>How do we design processes, systems, and environments that reduce the need for individuals to request access after barriers are created?</w:t>
            </w:r>
          </w:p>
        </w:tc>
      </w:tr>
      <w:tr w:rsidR="00A62215" w:rsidRPr="00A62215" w14:paraId="1EC4FD68" w14:textId="77777777" w:rsidTr="005B49EE">
        <w:trPr>
          <w:jc w:val="center"/>
        </w:trPr>
        <w:tc>
          <w:tcPr>
            <w:tcW w:w="1667" w:type="pct"/>
            <w:shd w:val="clear" w:color="auto" w:fill="FFF220"/>
          </w:tcPr>
          <w:p w14:paraId="68BED843" w14:textId="77777777" w:rsidR="00A62215" w:rsidRPr="00A62215" w:rsidRDefault="00A62215" w:rsidP="00810318">
            <w:pPr>
              <w:pStyle w:val="BodyCopy"/>
              <w:rPr>
                <w:lang w:val="fr-CA"/>
              </w:rPr>
            </w:pPr>
            <w:r w:rsidRPr="00A62215">
              <w:rPr>
                <w:lang w:val="fr-CA"/>
              </w:rPr>
              <w:lastRenderedPageBreak/>
              <w:t>3. Inclusive communication, engagement, and participation environments</w:t>
            </w:r>
          </w:p>
        </w:tc>
        <w:tc>
          <w:tcPr>
            <w:tcW w:w="1667" w:type="pct"/>
          </w:tcPr>
          <w:p w14:paraId="7C7B69D0" w14:textId="77777777" w:rsidR="00A62215" w:rsidRPr="00A62215" w:rsidRDefault="00A62215" w:rsidP="00810318">
            <w:pPr>
              <w:pStyle w:val="BodyCopy"/>
            </w:pPr>
            <w:r w:rsidRPr="00A62215">
              <w:t>Conditions supporting equitable participation across physical, digital, and hybrid contexts.</w:t>
            </w:r>
          </w:p>
        </w:tc>
        <w:tc>
          <w:tcPr>
            <w:tcW w:w="1667" w:type="pct"/>
          </w:tcPr>
          <w:p w14:paraId="25974AD9" w14:textId="77777777" w:rsidR="00A62215" w:rsidRPr="00A62215" w:rsidRDefault="00A62215" w:rsidP="00810318">
            <w:pPr>
              <w:pStyle w:val="BodyCopy"/>
            </w:pPr>
            <w:r w:rsidRPr="00A62215">
              <w:t>How do we create conditions that support equitable participation across diverse ways of communicating, sensing, and interacting?</w:t>
            </w:r>
          </w:p>
          <w:p w14:paraId="381F2B18" w14:textId="77777777" w:rsidR="00A62215" w:rsidRPr="00A62215" w:rsidRDefault="00A62215" w:rsidP="00810318">
            <w:pPr>
              <w:pStyle w:val="BodyCopy"/>
            </w:pPr>
          </w:p>
        </w:tc>
      </w:tr>
      <w:tr w:rsidR="00A62215" w:rsidRPr="00A62215" w14:paraId="73A5DF2F" w14:textId="77777777" w:rsidTr="005B49EE">
        <w:trPr>
          <w:jc w:val="center"/>
        </w:trPr>
        <w:tc>
          <w:tcPr>
            <w:tcW w:w="1667" w:type="pct"/>
            <w:shd w:val="clear" w:color="auto" w:fill="FFF220"/>
          </w:tcPr>
          <w:p w14:paraId="063A2F6A" w14:textId="77777777" w:rsidR="00A62215" w:rsidRPr="00A62215" w:rsidRDefault="00A62215" w:rsidP="00810318">
            <w:pPr>
              <w:pStyle w:val="BodyCopy"/>
            </w:pPr>
            <w:r w:rsidRPr="00A62215">
              <w:t>4. Digital and information accessibility</w:t>
            </w:r>
          </w:p>
        </w:tc>
        <w:tc>
          <w:tcPr>
            <w:tcW w:w="1667" w:type="pct"/>
          </w:tcPr>
          <w:p w14:paraId="0139A491" w14:textId="77777777" w:rsidR="00A62215" w:rsidRPr="00A62215" w:rsidRDefault="00A62215" w:rsidP="00810318">
            <w:pPr>
              <w:pStyle w:val="BodyCopy"/>
            </w:pPr>
            <w:r w:rsidRPr="00A62215">
              <w:t>Accessibility of digital systems, information environments, and emerging technologies.</w:t>
            </w:r>
          </w:p>
        </w:tc>
        <w:tc>
          <w:tcPr>
            <w:tcW w:w="1667" w:type="pct"/>
          </w:tcPr>
          <w:p w14:paraId="1B6B04DA" w14:textId="77777777" w:rsidR="00A62215" w:rsidRPr="00A62215" w:rsidRDefault="00A62215" w:rsidP="00810318">
            <w:pPr>
              <w:pStyle w:val="BodyCopy"/>
            </w:pPr>
            <w:r w:rsidRPr="00A62215">
              <w:t>How do digital systems shape who can access, interpret, and use information?</w:t>
            </w:r>
          </w:p>
        </w:tc>
      </w:tr>
      <w:tr w:rsidR="00A62215" w:rsidRPr="00A62215" w14:paraId="4090B5B4" w14:textId="77777777" w:rsidTr="005B49EE">
        <w:trPr>
          <w:jc w:val="center"/>
        </w:trPr>
        <w:tc>
          <w:tcPr>
            <w:tcW w:w="1667" w:type="pct"/>
            <w:shd w:val="clear" w:color="auto" w:fill="FFF220"/>
          </w:tcPr>
          <w:p w14:paraId="3D6FF810" w14:textId="77777777" w:rsidR="00A62215" w:rsidRPr="00A62215" w:rsidRDefault="00A62215" w:rsidP="00810318">
            <w:pPr>
              <w:pStyle w:val="BodyCopy"/>
            </w:pPr>
            <w:r w:rsidRPr="00A62215">
              <w:t>5. Organizational accessibility and accountability</w:t>
            </w:r>
          </w:p>
        </w:tc>
        <w:tc>
          <w:tcPr>
            <w:tcW w:w="1667" w:type="pct"/>
          </w:tcPr>
          <w:p w14:paraId="0B8C41ED" w14:textId="77777777" w:rsidR="00A62215" w:rsidRPr="00A62215" w:rsidRDefault="00A62215" w:rsidP="00810318">
            <w:pPr>
              <w:pStyle w:val="BodyCopy"/>
            </w:pPr>
            <w:r w:rsidRPr="00A62215">
              <w:t>Governance structures supporting sustained accessibility practice.</w:t>
            </w:r>
          </w:p>
        </w:tc>
        <w:tc>
          <w:tcPr>
            <w:tcW w:w="1667" w:type="pct"/>
          </w:tcPr>
          <w:p w14:paraId="1EC9D8D9" w14:textId="77777777" w:rsidR="00A62215" w:rsidRPr="00A62215" w:rsidRDefault="00A62215" w:rsidP="00810318">
            <w:pPr>
              <w:pStyle w:val="BodyCopy"/>
            </w:pPr>
            <w:r w:rsidRPr="00A62215">
              <w:t>How do organizational structures distribute responsibility for accessibility and support accountability over time?</w:t>
            </w:r>
          </w:p>
        </w:tc>
      </w:tr>
    </w:tbl>
    <w:p w14:paraId="0A978F10" w14:textId="77777777" w:rsidR="00A62215" w:rsidRPr="00A62215" w:rsidRDefault="00A62215" w:rsidP="00810318">
      <w:pPr>
        <w:pStyle w:val="BodyCopy"/>
        <w:rPr>
          <w:rFonts w:eastAsia="Calibri"/>
        </w:rPr>
      </w:pPr>
      <w:r w:rsidRPr="00A62215">
        <w:rPr>
          <w:rFonts w:eastAsia="Calibri"/>
        </w:rPr>
        <w:br w:type="page"/>
      </w:r>
    </w:p>
    <w:p w14:paraId="73581607" w14:textId="77777777" w:rsidR="00A62215" w:rsidRPr="00A62215" w:rsidRDefault="00A62215" w:rsidP="00810318">
      <w:pPr>
        <w:pStyle w:val="BodyCopy"/>
        <w:rPr>
          <w:rFonts w:eastAsia="Calibri"/>
          <w:b/>
          <w:bCs/>
        </w:rPr>
      </w:pPr>
      <w:r w:rsidRPr="00A62215">
        <w:rPr>
          <w:rFonts w:eastAsia="Calibri"/>
          <w:b/>
          <w:bCs/>
        </w:rPr>
        <w:lastRenderedPageBreak/>
        <w:t>Four developmental levels</w:t>
      </w:r>
    </w:p>
    <w:tbl>
      <w:tblPr>
        <w:tblStyle w:val="TableGrid1"/>
        <w:tblW w:w="5000" w:type="pct"/>
        <w:jc w:val="center"/>
        <w:tblLook w:val="04A0" w:firstRow="1" w:lastRow="0" w:firstColumn="1" w:lastColumn="0" w:noHBand="0" w:noVBand="1"/>
      </w:tblPr>
      <w:tblGrid>
        <w:gridCol w:w="2993"/>
        <w:gridCol w:w="4750"/>
        <w:gridCol w:w="5279"/>
      </w:tblGrid>
      <w:tr w:rsidR="00A62215" w:rsidRPr="00A62215" w14:paraId="34157B15" w14:textId="77777777" w:rsidTr="005B49EE">
        <w:trPr>
          <w:tblHeader/>
          <w:jc w:val="center"/>
        </w:trPr>
        <w:tc>
          <w:tcPr>
            <w:tcW w:w="1149" w:type="pct"/>
            <w:shd w:val="clear" w:color="auto" w:fill="FFF220"/>
          </w:tcPr>
          <w:p w14:paraId="1551F3BF" w14:textId="77777777" w:rsidR="00A62215" w:rsidRPr="00A62215" w:rsidRDefault="00A62215" w:rsidP="00810318">
            <w:pPr>
              <w:pStyle w:val="BodyCopy"/>
            </w:pPr>
            <w:r w:rsidRPr="00A62215">
              <w:rPr>
                <w:b/>
              </w:rPr>
              <w:t>Level</w:t>
            </w:r>
          </w:p>
        </w:tc>
        <w:tc>
          <w:tcPr>
            <w:tcW w:w="1824" w:type="pct"/>
            <w:shd w:val="clear" w:color="auto" w:fill="FFF220"/>
          </w:tcPr>
          <w:p w14:paraId="04009AC4" w14:textId="77777777" w:rsidR="00A62215" w:rsidRPr="00A62215" w:rsidRDefault="00A62215" w:rsidP="00810318">
            <w:pPr>
              <w:pStyle w:val="BodyCopy"/>
            </w:pPr>
            <w:r w:rsidRPr="00A62215">
              <w:rPr>
                <w:b/>
              </w:rPr>
              <w:t>Description</w:t>
            </w:r>
          </w:p>
        </w:tc>
        <w:tc>
          <w:tcPr>
            <w:tcW w:w="2027" w:type="pct"/>
            <w:shd w:val="clear" w:color="auto" w:fill="FFF220"/>
          </w:tcPr>
          <w:p w14:paraId="263E0368" w14:textId="77777777" w:rsidR="00A62215" w:rsidRPr="00A62215" w:rsidRDefault="00A62215" w:rsidP="00810318">
            <w:pPr>
              <w:pStyle w:val="BodyCopy"/>
            </w:pPr>
            <w:r w:rsidRPr="00A62215">
              <w:rPr>
                <w:b/>
              </w:rPr>
              <w:t>General expression</w:t>
            </w:r>
          </w:p>
        </w:tc>
      </w:tr>
      <w:tr w:rsidR="00A62215" w:rsidRPr="00A62215" w14:paraId="5DAFA0AE" w14:textId="77777777" w:rsidTr="005B49EE">
        <w:trPr>
          <w:jc w:val="center"/>
        </w:trPr>
        <w:tc>
          <w:tcPr>
            <w:tcW w:w="1149" w:type="pct"/>
            <w:shd w:val="clear" w:color="auto" w:fill="FFF220"/>
          </w:tcPr>
          <w:p w14:paraId="371FA75A" w14:textId="77777777" w:rsidR="00A62215" w:rsidRPr="00A62215" w:rsidRDefault="00A62215" w:rsidP="00810318">
            <w:pPr>
              <w:pStyle w:val="BodyCopy"/>
            </w:pPr>
            <w:r w:rsidRPr="00A62215">
              <w:t>1. Foundational awareness</w:t>
            </w:r>
          </w:p>
        </w:tc>
        <w:tc>
          <w:tcPr>
            <w:tcW w:w="1824" w:type="pct"/>
          </w:tcPr>
          <w:p w14:paraId="5463EF8D" w14:textId="77777777" w:rsidR="00A62215" w:rsidRPr="00A62215" w:rsidRDefault="00A62215" w:rsidP="00810318">
            <w:pPr>
              <w:pStyle w:val="BodyCopy"/>
            </w:pPr>
            <w:r w:rsidRPr="00A62215">
              <w:t>Baseline understanding of accessibility concepts and relevance to role.</w:t>
            </w:r>
          </w:p>
        </w:tc>
        <w:tc>
          <w:tcPr>
            <w:tcW w:w="2027" w:type="pct"/>
          </w:tcPr>
          <w:p w14:paraId="18E9D57B" w14:textId="77777777" w:rsidR="00A62215" w:rsidRPr="00A62215" w:rsidRDefault="00A62215" w:rsidP="00810318">
            <w:pPr>
              <w:pStyle w:val="BodyCopy"/>
            </w:pPr>
            <w:r w:rsidRPr="00A62215">
              <w:t>Recognizes accessibility considerations, understands common barriers, and demonstrates awareness of lived experience and participation needs.</w:t>
            </w:r>
          </w:p>
        </w:tc>
      </w:tr>
      <w:tr w:rsidR="00A62215" w:rsidRPr="00A62215" w14:paraId="3F8F598E" w14:textId="77777777" w:rsidTr="005B49EE">
        <w:trPr>
          <w:jc w:val="center"/>
        </w:trPr>
        <w:tc>
          <w:tcPr>
            <w:tcW w:w="1149" w:type="pct"/>
            <w:shd w:val="clear" w:color="auto" w:fill="FFF220"/>
          </w:tcPr>
          <w:p w14:paraId="35B41A9D" w14:textId="77777777" w:rsidR="00A62215" w:rsidRPr="00A62215" w:rsidRDefault="00A62215" w:rsidP="00810318">
            <w:pPr>
              <w:pStyle w:val="BodyCopy"/>
            </w:pPr>
            <w:r w:rsidRPr="00A62215">
              <w:t>2. Working practice</w:t>
            </w:r>
          </w:p>
        </w:tc>
        <w:tc>
          <w:tcPr>
            <w:tcW w:w="1824" w:type="pct"/>
          </w:tcPr>
          <w:p w14:paraId="596DC5FC" w14:textId="77777777" w:rsidR="00A62215" w:rsidRPr="00A62215" w:rsidRDefault="00A62215" w:rsidP="00810318">
            <w:pPr>
              <w:pStyle w:val="BodyCopy"/>
            </w:pPr>
            <w:r w:rsidRPr="00A62215">
              <w:t>Application of accessibility considerations within routine tasks and interactions.</w:t>
            </w:r>
          </w:p>
        </w:tc>
        <w:tc>
          <w:tcPr>
            <w:tcW w:w="2027" w:type="pct"/>
          </w:tcPr>
          <w:p w14:paraId="6351434A" w14:textId="77777777" w:rsidR="00A62215" w:rsidRPr="00A62215" w:rsidRDefault="00A62215" w:rsidP="00810318">
            <w:pPr>
              <w:pStyle w:val="BodyCopy"/>
            </w:pPr>
            <w:r w:rsidRPr="00A62215">
              <w:t>Applies inclusive practices within day-to-day work and considers accessibility when communicating, planning, creating, selecting tools, or engaging others.</w:t>
            </w:r>
          </w:p>
        </w:tc>
      </w:tr>
      <w:tr w:rsidR="00A62215" w:rsidRPr="00A62215" w14:paraId="7F54656C" w14:textId="77777777" w:rsidTr="005B49EE">
        <w:trPr>
          <w:jc w:val="center"/>
        </w:trPr>
        <w:tc>
          <w:tcPr>
            <w:tcW w:w="1149" w:type="pct"/>
            <w:shd w:val="clear" w:color="auto" w:fill="FFF220"/>
          </w:tcPr>
          <w:p w14:paraId="796B7719" w14:textId="77777777" w:rsidR="00A62215" w:rsidRPr="00A62215" w:rsidRDefault="00A62215" w:rsidP="00810318">
            <w:pPr>
              <w:pStyle w:val="BodyCopy"/>
            </w:pPr>
            <w:r w:rsidRPr="00A62215">
              <w:t>3. Applied integration</w:t>
            </w:r>
          </w:p>
        </w:tc>
        <w:tc>
          <w:tcPr>
            <w:tcW w:w="1824" w:type="pct"/>
          </w:tcPr>
          <w:p w14:paraId="2AC4E41B" w14:textId="77777777" w:rsidR="00A62215" w:rsidRPr="00A62215" w:rsidRDefault="00A62215" w:rsidP="00810318">
            <w:pPr>
              <w:pStyle w:val="BodyCopy"/>
            </w:pPr>
            <w:r w:rsidRPr="00A62215">
              <w:t>Integration of accessibility considerations across projects, workflows, or teams.</w:t>
            </w:r>
          </w:p>
        </w:tc>
        <w:tc>
          <w:tcPr>
            <w:tcW w:w="2027" w:type="pct"/>
          </w:tcPr>
          <w:p w14:paraId="5E6FBA8C" w14:textId="77777777" w:rsidR="00A62215" w:rsidRPr="00A62215" w:rsidRDefault="00A62215" w:rsidP="00810318">
            <w:pPr>
              <w:pStyle w:val="BodyCopy"/>
            </w:pPr>
            <w:r w:rsidRPr="00A62215">
              <w:t>Builds accessibility into planning, collaboration, procurement, governance, and team-level decision-making.</w:t>
            </w:r>
          </w:p>
        </w:tc>
      </w:tr>
      <w:tr w:rsidR="00A62215" w:rsidRPr="00A62215" w14:paraId="7F064873" w14:textId="77777777" w:rsidTr="005B49EE">
        <w:trPr>
          <w:jc w:val="center"/>
        </w:trPr>
        <w:tc>
          <w:tcPr>
            <w:tcW w:w="1149" w:type="pct"/>
            <w:shd w:val="clear" w:color="auto" w:fill="FFF220"/>
          </w:tcPr>
          <w:p w14:paraId="63C3D4E5" w14:textId="77777777" w:rsidR="00A62215" w:rsidRPr="00A62215" w:rsidRDefault="00A62215" w:rsidP="00810318">
            <w:pPr>
              <w:pStyle w:val="BodyCopy"/>
            </w:pPr>
            <w:r w:rsidRPr="00A62215">
              <w:lastRenderedPageBreak/>
              <w:t>4. Strategic leadership</w:t>
            </w:r>
          </w:p>
        </w:tc>
        <w:tc>
          <w:tcPr>
            <w:tcW w:w="1824" w:type="pct"/>
          </w:tcPr>
          <w:p w14:paraId="6ACB4E59" w14:textId="77777777" w:rsidR="00A62215" w:rsidRPr="00A62215" w:rsidRDefault="00A62215" w:rsidP="00810318">
            <w:pPr>
              <w:pStyle w:val="BodyCopy"/>
            </w:pPr>
            <w:r w:rsidRPr="00A62215">
              <w:t>Shaping organizational conditions supporting accessibility capability over time.</w:t>
            </w:r>
          </w:p>
        </w:tc>
        <w:tc>
          <w:tcPr>
            <w:tcW w:w="2027" w:type="pct"/>
          </w:tcPr>
          <w:p w14:paraId="1489A186" w14:textId="77777777" w:rsidR="00A62215" w:rsidRPr="00A62215" w:rsidRDefault="00A62215" w:rsidP="00810318">
            <w:pPr>
              <w:pStyle w:val="BodyCopy"/>
            </w:pPr>
            <w:r w:rsidRPr="00A62215">
              <w:t>Influences governance, resources, standards, expectations, and continuous improvement processes.</w:t>
            </w:r>
          </w:p>
        </w:tc>
      </w:tr>
    </w:tbl>
    <w:p w14:paraId="2F165B84" w14:textId="77777777" w:rsidR="00A62215" w:rsidRPr="00A62215" w:rsidRDefault="00A62215" w:rsidP="00E406BE">
      <w:pPr>
        <w:pStyle w:val="Heading3"/>
        <w:rPr>
          <w:rFonts w:eastAsia="Calibri"/>
        </w:rPr>
      </w:pPr>
      <w:r w:rsidRPr="00A62215">
        <w:rPr>
          <w:rFonts w:eastAsia="Calibri"/>
        </w:rPr>
        <w:br w:type="page"/>
      </w:r>
      <w:bookmarkStart w:id="84" w:name="_Toc243923469"/>
      <w:r w:rsidRPr="00A62215">
        <w:rPr>
          <w:rFonts w:eastAsia="Calibri"/>
        </w:rPr>
        <w:lastRenderedPageBreak/>
        <w:t>How leaders can implement the framework</w:t>
      </w:r>
      <w:bookmarkEnd w:id="84"/>
    </w:p>
    <w:p w14:paraId="07C1949F" w14:textId="77777777" w:rsidR="00A62215" w:rsidRPr="00A62215" w:rsidRDefault="00A62215" w:rsidP="00810318">
      <w:pPr>
        <w:pStyle w:val="BodyCopy"/>
        <w:rPr>
          <w:rFonts w:eastAsia="Calibri"/>
        </w:rPr>
      </w:pPr>
      <w:r w:rsidRPr="00A62215">
        <w:rPr>
          <w:rFonts w:eastAsia="Calibri"/>
        </w:rPr>
        <w:t>Leaders can use the framework:</w:t>
      </w:r>
    </w:p>
    <w:p w14:paraId="286F5E0C" w14:textId="77777777" w:rsidR="00A62215" w:rsidRPr="00A62215" w:rsidRDefault="00A62215" w:rsidP="00810318">
      <w:pPr>
        <w:pStyle w:val="BodyCopy"/>
        <w:rPr>
          <w:rFonts w:eastAsia="Calibri"/>
        </w:rPr>
      </w:pPr>
      <w:r w:rsidRPr="00A62215">
        <w:rPr>
          <w:rFonts w:eastAsia="Calibri"/>
        </w:rPr>
        <w:t xml:space="preserve">At the start of a project </w:t>
      </w:r>
    </w:p>
    <w:p w14:paraId="5377B45F" w14:textId="77777777" w:rsidR="00A62215" w:rsidRPr="00A62215" w:rsidRDefault="00A62215" w:rsidP="00810318">
      <w:pPr>
        <w:pStyle w:val="BodyCopy"/>
        <w:rPr>
          <w:rFonts w:eastAsia="Calibri"/>
        </w:rPr>
      </w:pPr>
      <w:r w:rsidRPr="00A62215">
        <w:rPr>
          <w:rFonts w:eastAsia="Calibri"/>
        </w:rPr>
        <w:t xml:space="preserve">When planning meetings or engagement </w:t>
      </w:r>
    </w:p>
    <w:p w14:paraId="324F7B53" w14:textId="77777777" w:rsidR="00A62215" w:rsidRPr="00A62215" w:rsidRDefault="00A62215" w:rsidP="00810318">
      <w:pPr>
        <w:pStyle w:val="BodyCopy"/>
        <w:rPr>
          <w:rFonts w:eastAsia="Calibri"/>
        </w:rPr>
      </w:pPr>
      <w:r w:rsidRPr="00A62215">
        <w:rPr>
          <w:rFonts w:eastAsia="Calibri"/>
        </w:rPr>
        <w:t xml:space="preserve">When creating documents or training </w:t>
      </w:r>
    </w:p>
    <w:p w14:paraId="2E3AFEB0" w14:textId="77777777" w:rsidR="00A62215" w:rsidRPr="00A62215" w:rsidRDefault="00A62215" w:rsidP="00810318">
      <w:pPr>
        <w:pStyle w:val="BodyCopy"/>
        <w:rPr>
          <w:rFonts w:eastAsia="Calibri"/>
        </w:rPr>
      </w:pPr>
      <w:r w:rsidRPr="00A62215">
        <w:rPr>
          <w:rFonts w:eastAsia="Calibri"/>
        </w:rPr>
        <w:t xml:space="preserve">When choosing tools or platforms </w:t>
      </w:r>
    </w:p>
    <w:p w14:paraId="2849701E" w14:textId="77777777" w:rsidR="00A62215" w:rsidRPr="00A62215" w:rsidRDefault="00A62215" w:rsidP="00810318">
      <w:pPr>
        <w:pStyle w:val="BodyCopy"/>
        <w:rPr>
          <w:rFonts w:eastAsia="Calibri"/>
        </w:rPr>
      </w:pPr>
      <w:r w:rsidRPr="00A62215">
        <w:rPr>
          <w:rFonts w:eastAsia="Calibri"/>
        </w:rPr>
        <w:t xml:space="preserve">When reviewing team practices </w:t>
      </w:r>
    </w:p>
    <w:p w14:paraId="245F01FF" w14:textId="77777777" w:rsidR="00A62215" w:rsidRPr="00A62215" w:rsidRDefault="00A62215" w:rsidP="00810318">
      <w:pPr>
        <w:pStyle w:val="BodyCopy"/>
        <w:rPr>
          <w:rFonts w:eastAsia="Calibri"/>
        </w:rPr>
      </w:pPr>
      <w:r w:rsidRPr="00A62215">
        <w:rPr>
          <w:rFonts w:eastAsia="Calibri"/>
        </w:rPr>
        <w:t xml:space="preserve">When responding to feedback </w:t>
      </w:r>
    </w:p>
    <w:p w14:paraId="6BDC57F8" w14:textId="77777777" w:rsidR="00A62215" w:rsidRPr="00A62215" w:rsidRDefault="00A62215" w:rsidP="00810318">
      <w:pPr>
        <w:pStyle w:val="BodyCopy"/>
        <w:rPr>
          <w:rFonts w:eastAsia="Calibri"/>
        </w:rPr>
      </w:pPr>
      <w:r w:rsidRPr="00A62215">
        <w:rPr>
          <w:rFonts w:eastAsia="Calibri"/>
        </w:rPr>
        <w:t xml:space="preserve">When setting expectations for roles and responsibilities </w:t>
      </w:r>
    </w:p>
    <w:p w14:paraId="7F27B81B" w14:textId="77777777" w:rsidR="00A62215" w:rsidRPr="00A62215" w:rsidRDefault="00A62215" w:rsidP="00810318">
      <w:pPr>
        <w:pStyle w:val="BodyCopy"/>
        <w:rPr>
          <w:rFonts w:eastAsia="Calibri"/>
        </w:rPr>
      </w:pPr>
      <w:r w:rsidRPr="00A62215">
        <w:rPr>
          <w:rFonts w:eastAsia="Calibri"/>
        </w:rPr>
        <w:t xml:space="preserve">When deciding what needs specialist support </w:t>
      </w:r>
    </w:p>
    <w:p w14:paraId="31CEDD1E" w14:textId="77777777" w:rsidR="00A62215" w:rsidRPr="00A62215" w:rsidRDefault="00A62215" w:rsidP="00810318">
      <w:pPr>
        <w:pStyle w:val="BodyCopy"/>
        <w:rPr>
          <w:rFonts w:eastAsia="Calibri"/>
        </w:rPr>
      </w:pPr>
      <w:r w:rsidRPr="00A62215">
        <w:rPr>
          <w:rFonts w:eastAsia="Calibri"/>
        </w:rPr>
        <w:t>A simple practice:</w:t>
      </w:r>
    </w:p>
    <w:p w14:paraId="6805A4BC" w14:textId="77777777" w:rsidR="00A62215" w:rsidRPr="00A62215" w:rsidRDefault="00A62215" w:rsidP="00810318">
      <w:pPr>
        <w:pStyle w:val="BodyCopy"/>
        <w:rPr>
          <w:rFonts w:eastAsia="Calibri"/>
        </w:rPr>
      </w:pPr>
      <w:r w:rsidRPr="00A62215">
        <w:rPr>
          <w:rFonts w:eastAsia="Calibri"/>
          <w:b/>
          <w:bCs/>
        </w:rPr>
        <w:t>Pause. Ask the five domain questions. Adjust early. Follow through.</w:t>
      </w:r>
    </w:p>
    <w:p w14:paraId="02EE8CEA" w14:textId="77777777" w:rsidR="00E406BE" w:rsidRDefault="00E406BE" w:rsidP="00810318">
      <w:pPr>
        <w:pStyle w:val="BodyCopy"/>
        <w:rPr>
          <w:rFonts w:ascii="Arial Black" w:eastAsia="Calibri" w:hAnsi="Arial Black"/>
          <w:b/>
          <w:sz w:val="56"/>
          <w:szCs w:val="56"/>
        </w:rPr>
      </w:pPr>
    </w:p>
    <w:p w14:paraId="3B8D9C29" w14:textId="6C252E89" w:rsidR="00A62215" w:rsidRPr="00A62215" w:rsidRDefault="00DA39BA" w:rsidP="00E406BE">
      <w:pPr>
        <w:pStyle w:val="Heading3"/>
        <w:rPr>
          <w:rFonts w:eastAsia="Calibri"/>
        </w:rPr>
      </w:pPr>
      <w:bookmarkStart w:id="85" w:name="_Toc243923470"/>
      <w:r>
        <w:rPr>
          <w:rFonts w:eastAsia="Calibri"/>
        </w:rPr>
        <w:lastRenderedPageBreak/>
        <w:t xml:space="preserve">Appendix </w:t>
      </w:r>
      <w:r w:rsidR="00E406BE">
        <w:rPr>
          <w:rFonts w:eastAsia="Calibri"/>
        </w:rPr>
        <w:t>B and C</w:t>
      </w:r>
      <w:r w:rsidR="00CB40B5">
        <w:rPr>
          <w:rFonts w:eastAsia="Calibri"/>
        </w:rPr>
        <w:t xml:space="preserve"> - </w:t>
      </w:r>
      <w:r w:rsidR="00A62215" w:rsidRPr="00A62215">
        <w:rPr>
          <w:rFonts w:eastAsia="Calibri"/>
        </w:rPr>
        <w:t>References</w:t>
      </w:r>
      <w:bookmarkEnd w:id="85"/>
    </w:p>
    <w:p w14:paraId="42AC9EE5" w14:textId="77777777" w:rsidR="00A62215" w:rsidRPr="00A62215" w:rsidRDefault="00A62215" w:rsidP="00810318">
      <w:pPr>
        <w:pStyle w:val="BodyCopy"/>
        <w:rPr>
          <w:rFonts w:eastAsia="Calibri"/>
        </w:rPr>
      </w:pPr>
      <w:r w:rsidRPr="00A62215">
        <w:rPr>
          <w:rFonts w:eastAsia="Calibri"/>
        </w:rPr>
        <w:t xml:space="preserve">American Psychological Association. (2022). </w:t>
      </w:r>
      <w:r w:rsidRPr="00A62215">
        <w:rPr>
          <w:rFonts w:eastAsia="Calibri"/>
          <w:i/>
          <w:iCs/>
        </w:rPr>
        <w:t>Bystander Intervention Tip Sheet</w:t>
      </w:r>
      <w:r w:rsidRPr="00A62215">
        <w:rPr>
          <w:rFonts w:eastAsia="Calibri"/>
        </w:rPr>
        <w:t xml:space="preserve">. </w:t>
      </w:r>
    </w:p>
    <w:p w14:paraId="73589466" w14:textId="77777777" w:rsidR="00A62215" w:rsidRPr="00A62215" w:rsidRDefault="00A62215" w:rsidP="00810318">
      <w:pPr>
        <w:pStyle w:val="BodyCopy"/>
        <w:rPr>
          <w:rFonts w:eastAsia="Calibri"/>
        </w:rPr>
      </w:pPr>
      <w:r w:rsidRPr="00A62215">
        <w:rPr>
          <w:rFonts w:eastAsia="Calibri"/>
        </w:rPr>
        <w:t xml:space="preserve">Arnstein, S. R. (1969). </w:t>
      </w:r>
      <w:r w:rsidRPr="00A62215">
        <w:rPr>
          <w:rFonts w:eastAsia="Calibri"/>
          <w:i/>
          <w:iCs/>
        </w:rPr>
        <w:t>A Ladder of Citizen Participation</w:t>
      </w:r>
      <w:r w:rsidRPr="00A62215">
        <w:rPr>
          <w:rFonts w:eastAsia="Calibri"/>
        </w:rPr>
        <w:t xml:space="preserve">. </w:t>
      </w:r>
    </w:p>
    <w:p w14:paraId="28420BC3" w14:textId="77777777" w:rsidR="00A62215" w:rsidRPr="00A62215" w:rsidRDefault="00A62215" w:rsidP="00810318">
      <w:pPr>
        <w:pStyle w:val="BodyCopy"/>
        <w:rPr>
          <w:rFonts w:eastAsia="Calibri"/>
        </w:rPr>
      </w:pPr>
      <w:r w:rsidRPr="00A62215">
        <w:rPr>
          <w:rFonts w:eastAsia="Calibri"/>
        </w:rPr>
        <w:t xml:space="preserve">Barrows, A. S., Woo, S., Beitz, K., &amp; Knot, M. (2026). </w:t>
      </w:r>
      <w:r w:rsidRPr="00A62215">
        <w:rPr>
          <w:rFonts w:eastAsia="Calibri"/>
          <w:i/>
          <w:iCs/>
        </w:rPr>
        <w:t>Accessibility and Inclusion Competencies: A Culture-Building Framework for Inclusive Workplaces</w:t>
      </w:r>
      <w:r w:rsidRPr="00A62215">
        <w:rPr>
          <w:rFonts w:eastAsia="Calibri"/>
        </w:rPr>
        <w:t xml:space="preserve">. CNIB Foundation. </w:t>
      </w:r>
    </w:p>
    <w:p w14:paraId="08C9F150" w14:textId="77777777" w:rsidR="00A62215" w:rsidRPr="00A62215" w:rsidRDefault="00A62215" w:rsidP="00810318">
      <w:pPr>
        <w:pStyle w:val="BodyCopy"/>
        <w:rPr>
          <w:rFonts w:eastAsia="Calibri"/>
        </w:rPr>
      </w:pPr>
      <w:r w:rsidRPr="00A62215">
        <w:rPr>
          <w:rFonts w:eastAsia="Calibri"/>
        </w:rPr>
        <w:t xml:space="preserve">Campos-Moreira, L. D., Cummings, M. I., Grumbach, G., Williams, H. E., &amp; Hooks, K. (2020). </w:t>
      </w:r>
      <w:r w:rsidRPr="00A62215">
        <w:rPr>
          <w:rFonts w:eastAsia="Calibri"/>
          <w:i/>
          <w:iCs/>
        </w:rPr>
        <w:t>Making a Case for Culturally Humble Leadership Practices through a Culturally Responsive Leadership Framework</w:t>
      </w:r>
      <w:r w:rsidRPr="00A62215">
        <w:rPr>
          <w:rFonts w:eastAsia="Calibri"/>
        </w:rPr>
        <w:t xml:space="preserve">. </w:t>
      </w:r>
    </w:p>
    <w:p w14:paraId="463B49C0" w14:textId="77777777" w:rsidR="00A62215" w:rsidRPr="00A62215" w:rsidRDefault="00A62215" w:rsidP="00810318">
      <w:pPr>
        <w:pStyle w:val="BodyCopy"/>
        <w:rPr>
          <w:rFonts w:eastAsia="Calibri"/>
        </w:rPr>
      </w:pPr>
      <w:r w:rsidRPr="00A62215">
        <w:rPr>
          <w:rFonts w:eastAsia="Calibri"/>
        </w:rPr>
        <w:t xml:space="preserve">Daly, H., Martinchek, K., Martinez, R., Morgan, J., Farrell, L., &amp; Falkenburger, E. (2024). </w:t>
      </w:r>
      <w:r w:rsidRPr="00A62215">
        <w:rPr>
          <w:rFonts w:eastAsia="Calibri"/>
          <w:i/>
          <w:iCs/>
        </w:rPr>
        <w:t>Exploring Individual and Institutional Positionality: A Tool for Equity in Community Engagement and Collaboration</w:t>
      </w:r>
      <w:r w:rsidRPr="00A62215">
        <w:rPr>
          <w:rFonts w:eastAsia="Calibri"/>
        </w:rPr>
        <w:t xml:space="preserve">. Urban Institute. </w:t>
      </w:r>
    </w:p>
    <w:p w14:paraId="6B8933B9" w14:textId="77777777" w:rsidR="00A62215" w:rsidRPr="00A62215" w:rsidRDefault="00A62215" w:rsidP="00810318">
      <w:pPr>
        <w:pStyle w:val="BodyCopy"/>
        <w:rPr>
          <w:rFonts w:eastAsia="Calibri"/>
        </w:rPr>
      </w:pPr>
      <w:r w:rsidRPr="00A62215">
        <w:rPr>
          <w:rFonts w:eastAsia="Calibri"/>
        </w:rPr>
        <w:t xml:space="preserve">Duncan, R. D. (2018, updated 2021). </w:t>
      </w:r>
      <w:r w:rsidRPr="00A62215">
        <w:rPr>
          <w:rFonts w:eastAsia="Calibri"/>
          <w:i/>
          <w:iCs/>
        </w:rPr>
        <w:t>Avoid The Blame Game: Be Accountable For Accountability</w:t>
      </w:r>
      <w:r w:rsidRPr="00A62215">
        <w:rPr>
          <w:rFonts w:eastAsia="Calibri"/>
        </w:rPr>
        <w:t xml:space="preserve">. </w:t>
      </w:r>
    </w:p>
    <w:p w14:paraId="09922C68" w14:textId="77777777" w:rsidR="00A62215" w:rsidRPr="00A62215" w:rsidRDefault="00A62215" w:rsidP="00810318">
      <w:pPr>
        <w:pStyle w:val="BodyCopy"/>
        <w:rPr>
          <w:rFonts w:eastAsia="Calibri"/>
        </w:rPr>
      </w:pPr>
      <w:r w:rsidRPr="00A62215">
        <w:rPr>
          <w:rFonts w:eastAsia="Calibri"/>
        </w:rPr>
        <w:t xml:space="preserve">Fraser, J. E. (2022). </w:t>
      </w:r>
      <w:r w:rsidRPr="00A62215">
        <w:rPr>
          <w:rFonts w:eastAsia="Calibri"/>
          <w:i/>
          <w:iCs/>
        </w:rPr>
        <w:t>Relational Accountability: A Path Towards Transformative Reconciliation in Nursing Education</w:t>
      </w:r>
      <w:r w:rsidRPr="00A62215">
        <w:rPr>
          <w:rFonts w:eastAsia="Calibri"/>
        </w:rPr>
        <w:t xml:space="preserve">. </w:t>
      </w:r>
    </w:p>
    <w:p w14:paraId="47BE5059" w14:textId="77777777" w:rsidR="00A62215" w:rsidRPr="00A62215" w:rsidRDefault="00A62215" w:rsidP="00810318">
      <w:pPr>
        <w:pStyle w:val="BodyCopy"/>
        <w:rPr>
          <w:rFonts w:eastAsia="Calibri"/>
        </w:rPr>
      </w:pPr>
      <w:r w:rsidRPr="00A62215">
        <w:rPr>
          <w:rFonts w:eastAsia="Calibri"/>
        </w:rPr>
        <w:t xml:space="preserve">Koontz, A., Duvall, J., Johnson, R., Reissman, T., &amp; Smith, E. (2022). </w:t>
      </w:r>
      <w:r w:rsidRPr="00A62215">
        <w:rPr>
          <w:rFonts w:eastAsia="Calibri"/>
          <w:i/>
          <w:iCs/>
        </w:rPr>
        <w:t>“Nothing About Us Without Us”: Engaging AT Users in AT Research</w:t>
      </w:r>
      <w:r w:rsidRPr="00A62215">
        <w:rPr>
          <w:rFonts w:eastAsia="Calibri"/>
        </w:rPr>
        <w:t xml:space="preserve">. </w:t>
      </w:r>
    </w:p>
    <w:p w14:paraId="6B1D3382" w14:textId="77777777" w:rsidR="00A62215" w:rsidRPr="00A62215" w:rsidRDefault="00A62215" w:rsidP="00810318">
      <w:pPr>
        <w:pStyle w:val="BodyCopy"/>
        <w:rPr>
          <w:rFonts w:eastAsia="Calibri"/>
        </w:rPr>
      </w:pPr>
      <w:r w:rsidRPr="00A62215">
        <w:rPr>
          <w:rFonts w:eastAsia="Calibri"/>
        </w:rPr>
        <w:t xml:space="preserve">OpenLearn / The Open University. </w:t>
      </w:r>
      <w:r w:rsidRPr="00A62215">
        <w:rPr>
          <w:rFonts w:eastAsia="Calibri"/>
          <w:i/>
          <w:iCs/>
        </w:rPr>
        <w:t>Arnstein’s Ladder of Participation</w:t>
      </w:r>
      <w:r w:rsidRPr="00A62215">
        <w:rPr>
          <w:rFonts w:eastAsia="Calibri"/>
        </w:rPr>
        <w:t xml:space="preserve">. </w:t>
      </w:r>
    </w:p>
    <w:p w14:paraId="5A4DDF83" w14:textId="77777777" w:rsidR="00A62215" w:rsidRPr="00A62215" w:rsidRDefault="00A62215" w:rsidP="00810318">
      <w:pPr>
        <w:pStyle w:val="BodyCopy"/>
        <w:rPr>
          <w:rFonts w:eastAsia="Calibri"/>
        </w:rPr>
      </w:pPr>
      <w:r w:rsidRPr="00A62215">
        <w:rPr>
          <w:rFonts w:eastAsia="Calibri"/>
        </w:rPr>
        <w:lastRenderedPageBreak/>
        <w:t xml:space="preserve">Right To Be. </w:t>
      </w:r>
      <w:r w:rsidRPr="00A62215">
        <w:rPr>
          <w:rFonts w:eastAsia="Calibri"/>
          <w:i/>
          <w:iCs/>
        </w:rPr>
        <w:t>The 5Ds of Bystander Intervention</w:t>
      </w:r>
      <w:r w:rsidRPr="00A62215">
        <w:rPr>
          <w:rFonts w:eastAsia="Calibri"/>
        </w:rPr>
        <w:t xml:space="preserve">. </w:t>
      </w:r>
    </w:p>
    <w:p w14:paraId="788483F8" w14:textId="77777777" w:rsidR="00A62215" w:rsidRPr="00A62215" w:rsidRDefault="00A62215" w:rsidP="00810318">
      <w:pPr>
        <w:pStyle w:val="BodyCopy"/>
        <w:rPr>
          <w:rFonts w:eastAsia="Calibri"/>
        </w:rPr>
      </w:pPr>
      <w:r w:rsidRPr="00A62215">
        <w:rPr>
          <w:rFonts w:eastAsia="Calibri"/>
        </w:rPr>
        <w:t xml:space="preserve">Skeet, A. </w:t>
      </w:r>
      <w:r w:rsidRPr="00A62215">
        <w:rPr>
          <w:rFonts w:eastAsia="Calibri"/>
          <w:i/>
          <w:iCs/>
        </w:rPr>
        <w:t>Cultural Humility: A Leadership Virtue</w:t>
      </w:r>
      <w:r w:rsidRPr="00A62215">
        <w:rPr>
          <w:rFonts w:eastAsia="Calibri"/>
        </w:rPr>
        <w:t xml:space="preserve">. Markkula Center for Applied Ethics. </w:t>
      </w:r>
    </w:p>
    <w:p w14:paraId="1F2EE954" w14:textId="254FE055" w:rsidR="00422754" w:rsidRDefault="00A62215" w:rsidP="00810318">
      <w:pPr>
        <w:pStyle w:val="BodyCopy"/>
        <w:rPr>
          <w:rFonts w:eastAsia="Calibri"/>
        </w:rPr>
      </w:pPr>
      <w:r w:rsidRPr="00A62215">
        <w:rPr>
          <w:rFonts w:eastAsia="Calibri"/>
        </w:rPr>
        <w:t xml:space="preserve">University of Calgary Taylor Institute. </w:t>
      </w:r>
      <w:r w:rsidRPr="00A62215">
        <w:rPr>
          <w:rFonts w:eastAsia="Calibri"/>
          <w:i/>
          <w:iCs/>
        </w:rPr>
        <w:t>Positionality: Start from Where You Are and What You Know</w:t>
      </w:r>
      <w:r w:rsidRPr="00A62215">
        <w:rPr>
          <w:rFonts w:eastAsia="Calibri"/>
        </w:rPr>
        <w:t xml:space="preserve">. </w:t>
      </w:r>
    </w:p>
    <w:p w14:paraId="01EE51E9" w14:textId="77777777" w:rsidR="00A85AAF" w:rsidRDefault="00A85AAF" w:rsidP="0018669B">
      <w:pPr>
        <w:spacing w:before="240" w:after="240" w:line="300" w:lineRule="auto"/>
        <w:rPr>
          <w:rFonts w:ascii="Arial" w:eastAsia="Calibri" w:hAnsi="Arial" w:cs="Arial"/>
          <w:spacing w:val="-5"/>
          <w:sz w:val="36"/>
          <w:szCs w:val="36"/>
        </w:rPr>
        <w:sectPr w:rsidR="00A85AAF" w:rsidSect="00226DBC">
          <w:pgSz w:w="15840" w:h="12240" w:orient="landscape"/>
          <w:pgMar w:top="1440" w:right="1728" w:bottom="1440" w:left="1080" w:header="709" w:footer="317" w:gutter="0"/>
          <w:cols w:space="708"/>
          <w:docGrid w:linePitch="360"/>
        </w:sectPr>
      </w:pPr>
    </w:p>
    <w:p w14:paraId="48DB5B5D" w14:textId="2FDD1F21" w:rsidR="00D202FE" w:rsidRDefault="00D202FE" w:rsidP="00D202FE">
      <w:pPr>
        <w:tabs>
          <w:tab w:val="left" w:pos="1114"/>
        </w:tabs>
      </w:pPr>
    </w:p>
    <w:p w14:paraId="221722F2" w14:textId="334B10A9" w:rsidR="00700C7B" w:rsidRDefault="001411AF" w:rsidP="00DD2791">
      <w:pPr>
        <w:tabs>
          <w:tab w:val="left" w:pos="1114"/>
        </w:tabs>
        <w:rPr>
          <w:rFonts w:ascii="Arial" w:hAnsi="Arial" w:cs="Arial"/>
          <w:b/>
          <w:sz w:val="28"/>
          <w:szCs w:val="28"/>
        </w:rPr>
        <w:sectPr w:rsidR="00700C7B" w:rsidSect="009F7FEB">
          <w:headerReference w:type="first" r:id="rId42"/>
          <w:pgSz w:w="12240" w:h="15840"/>
          <w:pgMar w:top="1728" w:right="1440" w:bottom="1080" w:left="1440" w:header="709" w:footer="317" w:gutter="0"/>
          <w:cols w:space="708"/>
          <w:docGrid w:linePitch="360"/>
        </w:sectPr>
      </w:pPr>
      <w:r>
        <w:rPr>
          <w:rFonts w:ascii="Arial" w:hAnsi="Arial" w:cs="Arial"/>
          <w:b/>
          <w:noProof/>
          <w:sz w:val="28"/>
          <w:szCs w:val="28"/>
        </w:rPr>
        <w:drawing>
          <wp:anchor distT="0" distB="0" distL="114300" distR="114300" simplePos="0" relativeHeight="251662336" behindDoc="0" locked="0" layoutInCell="1" allowOverlap="1" wp14:anchorId="226FE83F" wp14:editId="7E10DD52">
            <wp:simplePos x="0" y="0"/>
            <wp:positionH relativeFrom="column">
              <wp:posOffset>-914400</wp:posOffset>
            </wp:positionH>
            <wp:positionV relativeFrom="paragraph">
              <wp:posOffset>206375</wp:posOffset>
            </wp:positionV>
            <wp:extent cx="7766050" cy="6355080"/>
            <wp:effectExtent l="0" t="0" r="6350" b="7620"/>
            <wp:wrapSquare wrapText="bothSides"/>
            <wp:docPr id="4" name="Picture 4" descr="Yellow Brush Strok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roposal Back Cover Image.jpg"/>
                    <pic:cNvPicPr/>
                  </pic:nvPicPr>
                  <pic:blipFill>
                    <a:blip r:embed="rId43">
                      <a:extLst>
                        <a:ext uri="{28A0092B-C50C-407E-A947-70E740481C1C}">
                          <a14:useLocalDpi xmlns:a14="http://schemas.microsoft.com/office/drawing/2010/main" val="0"/>
                        </a:ext>
                      </a:extLst>
                    </a:blip>
                    <a:stretch>
                      <a:fillRect/>
                    </a:stretch>
                  </pic:blipFill>
                  <pic:spPr>
                    <a:xfrm>
                      <a:off x="0" y="0"/>
                      <a:ext cx="7766050" cy="6355080"/>
                    </a:xfrm>
                    <a:prstGeom prst="rect">
                      <a:avLst/>
                    </a:prstGeom>
                  </pic:spPr>
                </pic:pic>
              </a:graphicData>
            </a:graphic>
            <wp14:sizeRelV relativeFrom="margin">
              <wp14:pctHeight>0</wp14:pctHeight>
            </wp14:sizeRelV>
          </wp:anchor>
        </w:drawing>
      </w:r>
    </w:p>
    <w:p w14:paraId="6CA4732E" w14:textId="2DB6D203" w:rsidR="005D19B0" w:rsidRDefault="005D19B0" w:rsidP="005D19B0">
      <w:pPr>
        <w:ind w:left="-990" w:right="-720"/>
        <w:rPr>
          <w:rFonts w:ascii="Arial" w:hAnsi="Arial" w:cs="Arial"/>
          <w:b/>
          <w:sz w:val="28"/>
          <w:szCs w:val="28"/>
        </w:rPr>
      </w:pPr>
    </w:p>
    <w:p w14:paraId="6697D527" w14:textId="77777777" w:rsidR="005D19B0" w:rsidRPr="00D76B3A" w:rsidRDefault="005D19B0" w:rsidP="005D19B0">
      <w:pPr>
        <w:spacing w:line="360" w:lineRule="auto"/>
        <w:ind w:right="86"/>
        <w:jc w:val="right"/>
        <w:rPr>
          <w:rFonts w:ascii="Arial" w:hAnsi="Arial" w:cs="Arial"/>
          <w:b/>
          <w:sz w:val="32"/>
          <w:szCs w:val="28"/>
        </w:rPr>
      </w:pPr>
    </w:p>
    <w:p w14:paraId="69D91DF2" w14:textId="54B1267F" w:rsidR="005D19B0" w:rsidRPr="00D76B3A" w:rsidRDefault="005D19B0" w:rsidP="005D19B0">
      <w:pPr>
        <w:spacing w:line="360" w:lineRule="auto"/>
        <w:ind w:right="86"/>
        <w:jc w:val="right"/>
        <w:rPr>
          <w:rFonts w:ascii="Arial" w:hAnsi="Arial" w:cs="Arial"/>
          <w:b/>
          <w:sz w:val="32"/>
          <w:szCs w:val="28"/>
        </w:rPr>
      </w:pPr>
      <w:r w:rsidRPr="00D76B3A">
        <w:rPr>
          <w:rFonts w:ascii="Arial" w:hAnsi="Arial" w:cs="Arial"/>
          <w:b/>
          <w:sz w:val="32"/>
          <w:szCs w:val="28"/>
        </w:rPr>
        <w:t>Web / Site Web : cnib.ca / inca.ca</w:t>
      </w:r>
    </w:p>
    <w:p w14:paraId="495EB284" w14:textId="77777777" w:rsidR="005D19B0" w:rsidRPr="007631AD" w:rsidRDefault="005D19B0" w:rsidP="005D19B0">
      <w:pPr>
        <w:spacing w:line="360" w:lineRule="auto"/>
        <w:ind w:right="86"/>
        <w:jc w:val="right"/>
        <w:rPr>
          <w:rFonts w:ascii="Arial" w:hAnsi="Arial" w:cs="Arial"/>
          <w:b/>
          <w:sz w:val="32"/>
          <w:szCs w:val="28"/>
          <w:lang w:val="fr-FR"/>
        </w:rPr>
      </w:pPr>
      <w:r w:rsidRPr="007631AD">
        <w:rPr>
          <w:rFonts w:ascii="Arial" w:hAnsi="Arial" w:cs="Arial"/>
          <w:b/>
          <w:sz w:val="32"/>
          <w:szCs w:val="28"/>
          <w:lang w:val="fr-FR"/>
        </w:rPr>
        <w:t>Email / Courriel : info@cnib.ca / info@inca.ca</w:t>
      </w:r>
    </w:p>
    <w:p w14:paraId="690556C7" w14:textId="66495709" w:rsidR="00B10D60" w:rsidRPr="005D19B0" w:rsidRDefault="005D19B0" w:rsidP="005D19B0">
      <w:pPr>
        <w:spacing w:line="360" w:lineRule="auto"/>
        <w:ind w:right="86"/>
        <w:jc w:val="right"/>
        <w:rPr>
          <w:rFonts w:ascii="Arial" w:hAnsi="Arial" w:cs="Arial"/>
          <w:b/>
          <w:sz w:val="32"/>
          <w:szCs w:val="28"/>
        </w:rPr>
      </w:pPr>
      <w:r w:rsidRPr="00D76B3A">
        <w:rPr>
          <w:rFonts w:ascii="Arial" w:hAnsi="Arial" w:cs="Arial"/>
          <w:b/>
          <w:sz w:val="32"/>
          <w:szCs w:val="28"/>
        </w:rPr>
        <w:t>Toll Free / Sans frais : 1-800-563-2624</w:t>
      </w:r>
    </w:p>
    <w:sectPr w:rsidR="00B10D60" w:rsidRPr="005D19B0" w:rsidSect="009F7FEB">
      <w:type w:val="continuous"/>
      <w:pgSz w:w="12240" w:h="15840"/>
      <w:pgMar w:top="1728" w:right="1440" w:bottom="1080" w:left="1440" w:header="706" w:footer="31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456C20" w14:textId="77777777" w:rsidR="00E35670" w:rsidRDefault="00E35670" w:rsidP="00257838">
      <w:r>
        <w:separator/>
      </w:r>
    </w:p>
  </w:endnote>
  <w:endnote w:type="continuationSeparator" w:id="0">
    <w:p w14:paraId="392A0799" w14:textId="77777777" w:rsidR="00E35670" w:rsidRDefault="00E35670" w:rsidP="00257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Minion Pro">
    <w:panose1 w:val="00000000000000000000"/>
    <w:charset w:val="00"/>
    <w:family w:val="roman"/>
    <w:notTrueType/>
    <w:pitch w:val="variable"/>
    <w:sig w:usb0="60000287" w:usb1="00000001"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Stag Sans Book">
    <w:altName w:val="Calibri"/>
    <w:charset w:val="00"/>
    <w:family w:val="swiss"/>
    <w:pitch w:val="variable"/>
    <w:sig w:usb0="00000087" w:usb1="00000000"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DEA6A5" w14:textId="77777777" w:rsidR="001E7E53" w:rsidRDefault="001E7E5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4742308"/>
      <w:docPartObj>
        <w:docPartGallery w:val="Page Numbers (Bottom of Page)"/>
        <w:docPartUnique/>
      </w:docPartObj>
    </w:sdtPr>
    <w:sdtEndPr>
      <w:rPr>
        <w:noProof/>
      </w:rPr>
    </w:sdtEndPr>
    <w:sdtContent>
      <w:p w14:paraId="3C142448" w14:textId="3E0C5757" w:rsidR="00301F15" w:rsidRDefault="00301F15">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0F6D213" w14:textId="77777777" w:rsidR="00301F15" w:rsidRDefault="00301F1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0C56BE" w14:textId="77777777" w:rsidR="001E7E53" w:rsidRDefault="001E7E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0F07EE" w14:textId="77777777" w:rsidR="00E35670" w:rsidRDefault="00E35670" w:rsidP="00257838">
      <w:r>
        <w:separator/>
      </w:r>
    </w:p>
  </w:footnote>
  <w:footnote w:type="continuationSeparator" w:id="0">
    <w:p w14:paraId="049AA85E" w14:textId="77777777" w:rsidR="00E35670" w:rsidRDefault="00E35670" w:rsidP="002578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87AC67" w14:textId="77777777" w:rsidR="001E7E53" w:rsidRDefault="001E7E5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1784C8" w14:textId="77777777" w:rsidR="001E7E53" w:rsidRDefault="001E7E5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2125E8" w14:textId="77777777" w:rsidR="001E7E53" w:rsidRDefault="001E7E5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42D2C2" w14:textId="77777777" w:rsidR="00A62215" w:rsidRDefault="00A62215" w:rsidP="00786779">
    <w:pPr>
      <w:pStyle w:val="Header"/>
    </w:pPr>
    <w:r>
      <w:rPr>
        <w:noProof/>
      </w:rPr>
      <w:drawing>
        <wp:anchor distT="0" distB="0" distL="114300" distR="114300" simplePos="0" relativeHeight="251659264" behindDoc="0" locked="0" layoutInCell="1" allowOverlap="1" wp14:anchorId="07311FEC" wp14:editId="02A24C6C">
          <wp:simplePos x="0" y="0"/>
          <wp:positionH relativeFrom="margin">
            <wp:posOffset>351155</wp:posOffset>
          </wp:positionH>
          <wp:positionV relativeFrom="paragraph">
            <wp:posOffset>311619</wp:posOffset>
          </wp:positionV>
          <wp:extent cx="7755890" cy="1357630"/>
          <wp:effectExtent l="0" t="0" r="0" b="0"/>
          <wp:wrapSquare wrapText="bothSides"/>
          <wp:docPr id="1701878781" name="Picture 2" descr="CNIB logo (left). CNIB Deafblind Community Services logo (R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2732186" name="Picture 2" descr="CNIB logo (left). CNIB Deafblind Community Services logo (Right)."/>
                  <pic:cNvPicPr/>
                </pic:nvPicPr>
                <pic:blipFill>
                  <a:blip r:embed="rId1">
                    <a:extLst>
                      <a:ext uri="{28A0092B-C50C-407E-A947-70E740481C1C}">
                        <a14:useLocalDpi xmlns:a14="http://schemas.microsoft.com/office/drawing/2010/main" val="0"/>
                      </a:ext>
                    </a:extLst>
                  </a:blip>
                  <a:stretch>
                    <a:fillRect/>
                  </a:stretch>
                </pic:blipFill>
                <pic:spPr>
                  <a:xfrm>
                    <a:off x="0" y="0"/>
                    <a:ext cx="7755890" cy="1357630"/>
                  </a:xfrm>
                  <a:prstGeom prst="rect">
                    <a:avLst/>
                  </a:prstGeom>
                </pic:spPr>
              </pic:pic>
            </a:graphicData>
          </a:graphic>
          <wp14:sizeRelH relativeFrom="page">
            <wp14:pctWidth>0</wp14:pctWidth>
          </wp14:sizeRelH>
          <wp14:sizeRelV relativeFrom="page">
            <wp14:pctHeight>0</wp14:pctHeight>
          </wp14:sizeRelV>
        </wp:anchor>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5A7ABE" w14:textId="77777777" w:rsidR="00A62215" w:rsidRDefault="00A62215" w:rsidP="00786779">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8058B3" w14:textId="77777777" w:rsidR="00D202FE" w:rsidRDefault="00D202FE" w:rsidP="0078677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0503C7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708E5EA0"/>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5A5E514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190A11B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57C468D8"/>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F96317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75688FD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5AB4412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C8A650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88E7A0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B07CC0"/>
    <w:multiLevelType w:val="hybridMultilevel"/>
    <w:tmpl w:val="2E528EB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07336025"/>
    <w:multiLevelType w:val="hybridMultilevel"/>
    <w:tmpl w:val="BDF29308"/>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0B6316E0"/>
    <w:multiLevelType w:val="hybridMultilevel"/>
    <w:tmpl w:val="660AE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BE86E3C"/>
    <w:multiLevelType w:val="multilevel"/>
    <w:tmpl w:val="B658DC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DA51AAD"/>
    <w:multiLevelType w:val="multilevel"/>
    <w:tmpl w:val="B658DC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ED10FAB"/>
    <w:multiLevelType w:val="hybridMultilevel"/>
    <w:tmpl w:val="991659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0DB6279"/>
    <w:multiLevelType w:val="multilevel"/>
    <w:tmpl w:val="279003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1FA4FF5"/>
    <w:multiLevelType w:val="multilevel"/>
    <w:tmpl w:val="F3C8F348"/>
    <w:lvl w:ilvl="0">
      <w:start w:val="1"/>
      <w:numFmt w:val="bullet"/>
      <w:lvlText w:val=""/>
      <w:lvlJc w:val="left"/>
      <w:pPr>
        <w:tabs>
          <w:tab w:val="num" w:pos="720"/>
        </w:tabs>
        <w:ind w:left="720" w:hanging="360"/>
      </w:pPr>
      <w:rPr>
        <w:rFonts w:ascii="Symbol" w:hAnsi="Symbol" w:hint="default"/>
        <w:sz w:val="32"/>
        <w:szCs w:val="32"/>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BAF3363"/>
    <w:multiLevelType w:val="hybridMultilevel"/>
    <w:tmpl w:val="535678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1CEC33DD"/>
    <w:multiLevelType w:val="hybridMultilevel"/>
    <w:tmpl w:val="E57A22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F495F95"/>
    <w:multiLevelType w:val="multilevel"/>
    <w:tmpl w:val="A15EFAA0"/>
    <w:lvl w:ilvl="0">
      <w:start w:val="1"/>
      <w:numFmt w:val="bullet"/>
      <w:lvlText w:val=""/>
      <w:lvlJc w:val="left"/>
      <w:pPr>
        <w:tabs>
          <w:tab w:val="num" w:pos="720"/>
        </w:tabs>
        <w:ind w:left="720" w:hanging="360"/>
      </w:pPr>
      <w:rPr>
        <w:rFonts w:ascii="Symbol" w:hAnsi="Symbol" w:hint="default"/>
        <w:sz w:val="36"/>
        <w:szCs w:val="56"/>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12C51FC"/>
    <w:multiLevelType w:val="hybridMultilevel"/>
    <w:tmpl w:val="D5C6A9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54A484B"/>
    <w:multiLevelType w:val="multilevel"/>
    <w:tmpl w:val="573AB1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6C17054"/>
    <w:multiLevelType w:val="multilevel"/>
    <w:tmpl w:val="AFA0072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9E7493B"/>
    <w:multiLevelType w:val="hybridMultilevel"/>
    <w:tmpl w:val="42D677C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337D0E9C"/>
    <w:multiLevelType w:val="hybridMultilevel"/>
    <w:tmpl w:val="D5CECC1E"/>
    <w:lvl w:ilvl="0" w:tplc="D4EE45A8">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6B16871"/>
    <w:multiLevelType w:val="hybridMultilevel"/>
    <w:tmpl w:val="0A14F9F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438C0221"/>
    <w:multiLevelType w:val="multilevel"/>
    <w:tmpl w:val="6A383F48"/>
    <w:lvl w:ilvl="0">
      <w:start w:val="1"/>
      <w:numFmt w:val="bullet"/>
      <w:lvlText w:val=""/>
      <w:lvlJc w:val="left"/>
      <w:pPr>
        <w:tabs>
          <w:tab w:val="num" w:pos="720"/>
        </w:tabs>
        <w:ind w:left="720" w:hanging="360"/>
      </w:pPr>
      <w:rPr>
        <w:rFonts w:ascii="Symbol" w:hAnsi="Symbol" w:hint="default"/>
        <w:sz w:val="32"/>
        <w:szCs w:val="52"/>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40372D5"/>
    <w:multiLevelType w:val="hybridMultilevel"/>
    <w:tmpl w:val="5D0634E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45C020ED"/>
    <w:multiLevelType w:val="hybridMultilevel"/>
    <w:tmpl w:val="3110A58A"/>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47350903"/>
    <w:multiLevelType w:val="multilevel"/>
    <w:tmpl w:val="0409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1" w15:restartNumberingAfterBreak="0">
    <w:nsid w:val="49242193"/>
    <w:multiLevelType w:val="hybridMultilevel"/>
    <w:tmpl w:val="92A40F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B8C09F4"/>
    <w:multiLevelType w:val="multilevel"/>
    <w:tmpl w:val="F4B8E4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F58371E"/>
    <w:multiLevelType w:val="multilevel"/>
    <w:tmpl w:val="520AD10E"/>
    <w:lvl w:ilvl="0">
      <w:start w:val="1"/>
      <w:numFmt w:val="bullet"/>
      <w:lvlText w:val=""/>
      <w:lvlJc w:val="left"/>
      <w:pPr>
        <w:tabs>
          <w:tab w:val="num" w:pos="720"/>
        </w:tabs>
        <w:ind w:left="720" w:hanging="360"/>
      </w:pPr>
      <w:rPr>
        <w:rFonts w:ascii="Symbol" w:hAnsi="Symbol" w:hint="default"/>
        <w:sz w:val="32"/>
        <w:szCs w:val="52"/>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0DF544D"/>
    <w:multiLevelType w:val="multilevel"/>
    <w:tmpl w:val="939C4522"/>
    <w:lvl w:ilvl="0">
      <w:start w:val="1"/>
      <w:numFmt w:val="decimal"/>
      <w:lvlText w:val="%1."/>
      <w:lvlJc w:val="left"/>
      <w:pPr>
        <w:tabs>
          <w:tab w:val="num" w:pos="720"/>
        </w:tabs>
        <w:ind w:left="720" w:hanging="360"/>
      </w:pPr>
      <w:rPr>
        <w:rFonts w:hint="default"/>
        <w:sz w:val="32"/>
        <w:szCs w:val="52"/>
      </w:rPr>
    </w:lvl>
    <w:lvl w:ilvl="1">
      <w:start w:val="1"/>
      <w:numFmt w:val="bullet"/>
      <w:lvlText w:val=""/>
      <w:lvlJc w:val="left"/>
      <w:pPr>
        <w:ind w:left="1440" w:hanging="360"/>
      </w:pPr>
      <w:rPr>
        <w:rFonts w:ascii="Symbol" w:hAnsi="Symbol" w:hint="default"/>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31D4674"/>
    <w:multiLevelType w:val="multilevel"/>
    <w:tmpl w:val="3B9652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4EB1609"/>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7" w15:restartNumberingAfterBreak="0">
    <w:nsid w:val="550A1F9F"/>
    <w:multiLevelType w:val="hybridMultilevel"/>
    <w:tmpl w:val="97E251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55822E19"/>
    <w:multiLevelType w:val="multilevel"/>
    <w:tmpl w:val="412A611A"/>
    <w:lvl w:ilvl="0">
      <w:start w:val="1"/>
      <w:numFmt w:val="bullet"/>
      <w:lvlText w:val=""/>
      <w:lvlJc w:val="left"/>
      <w:pPr>
        <w:tabs>
          <w:tab w:val="num" w:pos="720"/>
        </w:tabs>
        <w:ind w:left="720" w:hanging="360"/>
      </w:pPr>
      <w:rPr>
        <w:rFonts w:ascii="Symbol" w:hAnsi="Symbol" w:hint="default"/>
        <w:sz w:val="32"/>
        <w:szCs w:val="52"/>
      </w:rPr>
    </w:lvl>
    <w:lvl w:ilvl="1">
      <w:start w:val="1"/>
      <w:numFmt w:val="bullet"/>
      <w:lvlText w:val=""/>
      <w:lvlJc w:val="left"/>
      <w:pPr>
        <w:ind w:left="1440" w:hanging="360"/>
      </w:pPr>
      <w:rPr>
        <w:rFonts w:ascii="Symbol" w:hAnsi="Symbol" w:hint="default"/>
      </w:rPr>
    </w:lvl>
    <w:lvl w:ilvl="2">
      <w:start w:val="1"/>
      <w:numFmt w:val="bullet"/>
      <w:lvlText w:val=""/>
      <w:lvlJc w:val="left"/>
      <w:pPr>
        <w:ind w:left="2160" w:hanging="360"/>
      </w:pPr>
      <w:rPr>
        <w:rFonts w:ascii="Symbol" w:hAnsi="Symbol"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572D18BB"/>
    <w:multiLevelType w:val="hybridMultilevel"/>
    <w:tmpl w:val="D25CB5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5AC633A4"/>
    <w:multiLevelType w:val="hybridMultilevel"/>
    <w:tmpl w:val="AEE618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5C3C3E49"/>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5C782C16"/>
    <w:multiLevelType w:val="hybridMultilevel"/>
    <w:tmpl w:val="13D887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6FF60A22"/>
    <w:multiLevelType w:val="hybridMultilevel"/>
    <w:tmpl w:val="287A16D0"/>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4" w15:restartNumberingAfterBreak="0">
    <w:nsid w:val="71DE1CD4"/>
    <w:multiLevelType w:val="multilevel"/>
    <w:tmpl w:val="8D8470FC"/>
    <w:lvl w:ilvl="0">
      <w:start w:val="1"/>
      <w:numFmt w:val="bullet"/>
      <w:lvlText w:val=""/>
      <w:lvlJc w:val="left"/>
      <w:pPr>
        <w:tabs>
          <w:tab w:val="num" w:pos="720"/>
        </w:tabs>
        <w:ind w:left="720" w:hanging="360"/>
      </w:pPr>
      <w:rPr>
        <w:rFonts w:ascii="Symbol" w:hAnsi="Symbol" w:hint="default"/>
        <w:sz w:val="32"/>
        <w:szCs w:val="52"/>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84D66E2"/>
    <w:multiLevelType w:val="hybridMultilevel"/>
    <w:tmpl w:val="494A15FE"/>
    <w:lvl w:ilvl="0" w:tplc="2A3ED188">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B5950CF"/>
    <w:multiLevelType w:val="multilevel"/>
    <w:tmpl w:val="15304784"/>
    <w:lvl w:ilvl="0">
      <w:start w:val="1"/>
      <w:numFmt w:val="bullet"/>
      <w:lvlText w:val=""/>
      <w:lvlJc w:val="left"/>
      <w:pPr>
        <w:tabs>
          <w:tab w:val="num" w:pos="720"/>
        </w:tabs>
        <w:ind w:left="720" w:hanging="360"/>
      </w:pPr>
      <w:rPr>
        <w:rFonts w:ascii="Symbol" w:hAnsi="Symbol" w:hint="default"/>
        <w:sz w:val="32"/>
        <w:szCs w:val="52"/>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FC87ED7"/>
    <w:multiLevelType w:val="multilevel"/>
    <w:tmpl w:val="EDEAECB0"/>
    <w:lvl w:ilvl="0">
      <w:start w:val="1"/>
      <w:numFmt w:val="bullet"/>
      <w:lvlText w:val=""/>
      <w:lvlJc w:val="left"/>
      <w:pPr>
        <w:tabs>
          <w:tab w:val="num" w:pos="720"/>
        </w:tabs>
        <w:ind w:left="720" w:hanging="360"/>
      </w:pPr>
      <w:rPr>
        <w:rFonts w:ascii="Symbol" w:hAnsi="Symbol" w:hint="default"/>
        <w:sz w:val="32"/>
        <w:szCs w:val="52"/>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71487602">
    <w:abstractNumId w:val="9"/>
  </w:num>
  <w:num w:numId="2" w16cid:durableId="1700087906">
    <w:abstractNumId w:val="19"/>
  </w:num>
  <w:num w:numId="3" w16cid:durableId="993142975">
    <w:abstractNumId w:val="37"/>
  </w:num>
  <w:num w:numId="4" w16cid:durableId="694774472">
    <w:abstractNumId w:val="39"/>
  </w:num>
  <w:num w:numId="5" w16cid:durableId="1412317617">
    <w:abstractNumId w:val="40"/>
  </w:num>
  <w:num w:numId="6" w16cid:durableId="1210722954">
    <w:abstractNumId w:val="25"/>
  </w:num>
  <w:num w:numId="7" w16cid:durableId="711460005">
    <w:abstractNumId w:val="11"/>
  </w:num>
  <w:num w:numId="8" w16cid:durableId="1673684782">
    <w:abstractNumId w:val="43"/>
  </w:num>
  <w:num w:numId="9" w16cid:durableId="1430156553">
    <w:abstractNumId w:val="29"/>
  </w:num>
  <w:num w:numId="10" w16cid:durableId="1974867182">
    <w:abstractNumId w:val="16"/>
  </w:num>
  <w:num w:numId="11" w16cid:durableId="493761328">
    <w:abstractNumId w:val="22"/>
  </w:num>
  <w:num w:numId="12" w16cid:durableId="153105244">
    <w:abstractNumId w:val="18"/>
  </w:num>
  <w:num w:numId="13" w16cid:durableId="1799445431">
    <w:abstractNumId w:val="32"/>
  </w:num>
  <w:num w:numId="14" w16cid:durableId="330330352">
    <w:abstractNumId w:val="45"/>
  </w:num>
  <w:num w:numId="15" w16cid:durableId="724836843">
    <w:abstractNumId w:val="35"/>
  </w:num>
  <w:num w:numId="16" w16cid:durableId="1775829782">
    <w:abstractNumId w:val="12"/>
  </w:num>
  <w:num w:numId="17" w16cid:durableId="583151785">
    <w:abstractNumId w:val="15"/>
  </w:num>
  <w:num w:numId="18" w16cid:durableId="183444604">
    <w:abstractNumId w:val="42"/>
  </w:num>
  <w:num w:numId="19" w16cid:durableId="733164304">
    <w:abstractNumId w:val="24"/>
  </w:num>
  <w:num w:numId="20" w16cid:durableId="1679309939">
    <w:abstractNumId w:val="26"/>
  </w:num>
  <w:num w:numId="21" w16cid:durableId="780294920">
    <w:abstractNumId w:val="10"/>
  </w:num>
  <w:num w:numId="22" w16cid:durableId="469444121">
    <w:abstractNumId w:val="28"/>
  </w:num>
  <w:num w:numId="23" w16cid:durableId="940530718">
    <w:abstractNumId w:val="17"/>
  </w:num>
  <w:num w:numId="24" w16cid:durableId="447821979">
    <w:abstractNumId w:val="23"/>
  </w:num>
  <w:num w:numId="25" w16cid:durableId="381713029">
    <w:abstractNumId w:val="20"/>
  </w:num>
  <w:num w:numId="26" w16cid:durableId="1373771202">
    <w:abstractNumId w:val="34"/>
  </w:num>
  <w:num w:numId="27" w16cid:durableId="1379890483">
    <w:abstractNumId w:val="47"/>
  </w:num>
  <w:num w:numId="28" w16cid:durableId="501160827">
    <w:abstractNumId w:val="44"/>
  </w:num>
  <w:num w:numId="29" w16cid:durableId="1096365543">
    <w:abstractNumId w:val="38"/>
  </w:num>
  <w:num w:numId="30" w16cid:durableId="1556041198">
    <w:abstractNumId w:val="27"/>
  </w:num>
  <w:num w:numId="31" w16cid:durableId="1486703195">
    <w:abstractNumId w:val="46"/>
  </w:num>
  <w:num w:numId="32" w16cid:durableId="710957278">
    <w:abstractNumId w:val="33"/>
  </w:num>
  <w:num w:numId="33" w16cid:durableId="410465283">
    <w:abstractNumId w:val="14"/>
  </w:num>
  <w:num w:numId="34" w16cid:durableId="1202941669">
    <w:abstractNumId w:val="13"/>
  </w:num>
  <w:num w:numId="35" w16cid:durableId="310451123">
    <w:abstractNumId w:val="41"/>
  </w:num>
  <w:num w:numId="36" w16cid:durableId="273633664">
    <w:abstractNumId w:val="36"/>
  </w:num>
  <w:num w:numId="37" w16cid:durableId="906454945">
    <w:abstractNumId w:val="30"/>
  </w:num>
  <w:num w:numId="38" w16cid:durableId="820851349">
    <w:abstractNumId w:val="7"/>
  </w:num>
  <w:num w:numId="39" w16cid:durableId="1358779111">
    <w:abstractNumId w:val="6"/>
  </w:num>
  <w:num w:numId="40" w16cid:durableId="158346812">
    <w:abstractNumId w:val="5"/>
  </w:num>
  <w:num w:numId="41" w16cid:durableId="830827331">
    <w:abstractNumId w:val="4"/>
  </w:num>
  <w:num w:numId="42" w16cid:durableId="1110979225">
    <w:abstractNumId w:val="8"/>
  </w:num>
  <w:num w:numId="43" w16cid:durableId="347608812">
    <w:abstractNumId w:val="3"/>
  </w:num>
  <w:num w:numId="44" w16cid:durableId="1612933334">
    <w:abstractNumId w:val="2"/>
  </w:num>
  <w:num w:numId="45" w16cid:durableId="2029260114">
    <w:abstractNumId w:val="1"/>
  </w:num>
  <w:num w:numId="46" w16cid:durableId="1741832053">
    <w:abstractNumId w:val="0"/>
  </w:num>
  <w:num w:numId="47" w16cid:durableId="1011227063">
    <w:abstractNumId w:val="31"/>
  </w:num>
  <w:num w:numId="48" w16cid:durableId="1025138574">
    <w:abstractNumId w:val="21"/>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formatting="1" w:enforcement="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0A90"/>
    <w:rsid w:val="000003A0"/>
    <w:rsid w:val="000116CC"/>
    <w:rsid w:val="00012096"/>
    <w:rsid w:val="00015B3B"/>
    <w:rsid w:val="0001750C"/>
    <w:rsid w:val="000250C6"/>
    <w:rsid w:val="00027049"/>
    <w:rsid w:val="000278D6"/>
    <w:rsid w:val="00027C70"/>
    <w:rsid w:val="00032CD5"/>
    <w:rsid w:val="000332E5"/>
    <w:rsid w:val="000341E4"/>
    <w:rsid w:val="00044171"/>
    <w:rsid w:val="000462ED"/>
    <w:rsid w:val="00046647"/>
    <w:rsid w:val="00047BE5"/>
    <w:rsid w:val="00053151"/>
    <w:rsid w:val="000553FB"/>
    <w:rsid w:val="00056552"/>
    <w:rsid w:val="000615D2"/>
    <w:rsid w:val="00062F87"/>
    <w:rsid w:val="000633E1"/>
    <w:rsid w:val="000664FC"/>
    <w:rsid w:val="00066CBC"/>
    <w:rsid w:val="00072761"/>
    <w:rsid w:val="00074700"/>
    <w:rsid w:val="00075D72"/>
    <w:rsid w:val="000773FA"/>
    <w:rsid w:val="00080A25"/>
    <w:rsid w:val="00080CBF"/>
    <w:rsid w:val="00082DDE"/>
    <w:rsid w:val="00084AFC"/>
    <w:rsid w:val="00086D32"/>
    <w:rsid w:val="00086DF7"/>
    <w:rsid w:val="00090DC8"/>
    <w:rsid w:val="00093970"/>
    <w:rsid w:val="000942DC"/>
    <w:rsid w:val="00097233"/>
    <w:rsid w:val="000A13D2"/>
    <w:rsid w:val="000A4D66"/>
    <w:rsid w:val="000B2585"/>
    <w:rsid w:val="000B6E79"/>
    <w:rsid w:val="000C34BF"/>
    <w:rsid w:val="000C50B4"/>
    <w:rsid w:val="000E69E3"/>
    <w:rsid w:val="000E6EDE"/>
    <w:rsid w:val="000E79D2"/>
    <w:rsid w:val="000F1842"/>
    <w:rsid w:val="000F3619"/>
    <w:rsid w:val="000F4CE2"/>
    <w:rsid w:val="000F58CF"/>
    <w:rsid w:val="001003B2"/>
    <w:rsid w:val="00102FA0"/>
    <w:rsid w:val="00105161"/>
    <w:rsid w:val="0010549A"/>
    <w:rsid w:val="00107581"/>
    <w:rsid w:val="0011003C"/>
    <w:rsid w:val="001101AA"/>
    <w:rsid w:val="00120460"/>
    <w:rsid w:val="00127F2E"/>
    <w:rsid w:val="0013220B"/>
    <w:rsid w:val="00132615"/>
    <w:rsid w:val="00132FDE"/>
    <w:rsid w:val="001351FD"/>
    <w:rsid w:val="001411AF"/>
    <w:rsid w:val="00142DDD"/>
    <w:rsid w:val="00144C47"/>
    <w:rsid w:val="001476DF"/>
    <w:rsid w:val="00151D60"/>
    <w:rsid w:val="00154988"/>
    <w:rsid w:val="001552D9"/>
    <w:rsid w:val="00156B6D"/>
    <w:rsid w:val="001577A4"/>
    <w:rsid w:val="001610AD"/>
    <w:rsid w:val="00162E1D"/>
    <w:rsid w:val="00163171"/>
    <w:rsid w:val="00166EE7"/>
    <w:rsid w:val="00167A7F"/>
    <w:rsid w:val="001712F8"/>
    <w:rsid w:val="00174A1B"/>
    <w:rsid w:val="001771C5"/>
    <w:rsid w:val="001779D0"/>
    <w:rsid w:val="00180EA4"/>
    <w:rsid w:val="00181592"/>
    <w:rsid w:val="001857DD"/>
    <w:rsid w:val="001859CF"/>
    <w:rsid w:val="001865FF"/>
    <w:rsid w:val="0018669B"/>
    <w:rsid w:val="001873FC"/>
    <w:rsid w:val="001960E1"/>
    <w:rsid w:val="001967E9"/>
    <w:rsid w:val="001A06DB"/>
    <w:rsid w:val="001A23E2"/>
    <w:rsid w:val="001A34DE"/>
    <w:rsid w:val="001A767F"/>
    <w:rsid w:val="001B3739"/>
    <w:rsid w:val="001B454A"/>
    <w:rsid w:val="001B5BBD"/>
    <w:rsid w:val="001B71DB"/>
    <w:rsid w:val="001B7B0A"/>
    <w:rsid w:val="001C1B86"/>
    <w:rsid w:val="001C5ACA"/>
    <w:rsid w:val="001D0A90"/>
    <w:rsid w:val="001E22F0"/>
    <w:rsid w:val="001E6F1A"/>
    <w:rsid w:val="001E6F7D"/>
    <w:rsid w:val="001E7E53"/>
    <w:rsid w:val="001F1B51"/>
    <w:rsid w:val="001F6174"/>
    <w:rsid w:val="00201DAA"/>
    <w:rsid w:val="002021AE"/>
    <w:rsid w:val="00205790"/>
    <w:rsid w:val="00207E72"/>
    <w:rsid w:val="002151B6"/>
    <w:rsid w:val="00215436"/>
    <w:rsid w:val="00216B30"/>
    <w:rsid w:val="0022293D"/>
    <w:rsid w:val="002269E3"/>
    <w:rsid w:val="00226DBC"/>
    <w:rsid w:val="00233B2E"/>
    <w:rsid w:val="00236D01"/>
    <w:rsid w:val="002405B8"/>
    <w:rsid w:val="002426E2"/>
    <w:rsid w:val="00242951"/>
    <w:rsid w:val="00243A5B"/>
    <w:rsid w:val="002453B3"/>
    <w:rsid w:val="00247C7D"/>
    <w:rsid w:val="002518E4"/>
    <w:rsid w:val="002556D2"/>
    <w:rsid w:val="00257838"/>
    <w:rsid w:val="00260882"/>
    <w:rsid w:val="00261580"/>
    <w:rsid w:val="00266617"/>
    <w:rsid w:val="002710A0"/>
    <w:rsid w:val="00281DEB"/>
    <w:rsid w:val="00282072"/>
    <w:rsid w:val="00285063"/>
    <w:rsid w:val="00285A35"/>
    <w:rsid w:val="00287CE0"/>
    <w:rsid w:val="00290376"/>
    <w:rsid w:val="00292AE4"/>
    <w:rsid w:val="00294B9D"/>
    <w:rsid w:val="002950B5"/>
    <w:rsid w:val="002A0FF1"/>
    <w:rsid w:val="002A2C01"/>
    <w:rsid w:val="002A663E"/>
    <w:rsid w:val="002A6FDC"/>
    <w:rsid w:val="002A70CA"/>
    <w:rsid w:val="002B1215"/>
    <w:rsid w:val="002B388E"/>
    <w:rsid w:val="002B5F4C"/>
    <w:rsid w:val="002B68A3"/>
    <w:rsid w:val="002B77E4"/>
    <w:rsid w:val="002B7CEC"/>
    <w:rsid w:val="002C0063"/>
    <w:rsid w:val="002C445F"/>
    <w:rsid w:val="002D0631"/>
    <w:rsid w:val="002D4E89"/>
    <w:rsid w:val="002D7030"/>
    <w:rsid w:val="002D79A2"/>
    <w:rsid w:val="002E23FB"/>
    <w:rsid w:val="002E4FD8"/>
    <w:rsid w:val="00300F0C"/>
    <w:rsid w:val="00301F15"/>
    <w:rsid w:val="003025C3"/>
    <w:rsid w:val="00303342"/>
    <w:rsid w:val="003057B0"/>
    <w:rsid w:val="00305AB6"/>
    <w:rsid w:val="003077B3"/>
    <w:rsid w:val="0031498F"/>
    <w:rsid w:val="003151B7"/>
    <w:rsid w:val="00320EAA"/>
    <w:rsid w:val="00322035"/>
    <w:rsid w:val="003251A9"/>
    <w:rsid w:val="00331834"/>
    <w:rsid w:val="00336020"/>
    <w:rsid w:val="00336E48"/>
    <w:rsid w:val="0033729A"/>
    <w:rsid w:val="00337991"/>
    <w:rsid w:val="0034071F"/>
    <w:rsid w:val="00342695"/>
    <w:rsid w:val="00343B26"/>
    <w:rsid w:val="00356186"/>
    <w:rsid w:val="00361BA2"/>
    <w:rsid w:val="00364C1A"/>
    <w:rsid w:val="00371B78"/>
    <w:rsid w:val="003736FF"/>
    <w:rsid w:val="003738F1"/>
    <w:rsid w:val="00373A86"/>
    <w:rsid w:val="00374B1E"/>
    <w:rsid w:val="00374D3F"/>
    <w:rsid w:val="00375A76"/>
    <w:rsid w:val="00377CE7"/>
    <w:rsid w:val="00384D15"/>
    <w:rsid w:val="00384DF7"/>
    <w:rsid w:val="00385C7D"/>
    <w:rsid w:val="003867D4"/>
    <w:rsid w:val="003931C3"/>
    <w:rsid w:val="003943B9"/>
    <w:rsid w:val="003943F7"/>
    <w:rsid w:val="00397EBB"/>
    <w:rsid w:val="00397FAC"/>
    <w:rsid w:val="00397FFE"/>
    <w:rsid w:val="003A00D2"/>
    <w:rsid w:val="003A08AF"/>
    <w:rsid w:val="003A37D5"/>
    <w:rsid w:val="003A5C2A"/>
    <w:rsid w:val="003A7CA5"/>
    <w:rsid w:val="003B01DD"/>
    <w:rsid w:val="003B0E16"/>
    <w:rsid w:val="003B4727"/>
    <w:rsid w:val="003B4BDB"/>
    <w:rsid w:val="003C2F3A"/>
    <w:rsid w:val="003C66E6"/>
    <w:rsid w:val="003D03B6"/>
    <w:rsid w:val="003D13DF"/>
    <w:rsid w:val="003D46F6"/>
    <w:rsid w:val="003D55BE"/>
    <w:rsid w:val="003D7941"/>
    <w:rsid w:val="003E022C"/>
    <w:rsid w:val="003E2D84"/>
    <w:rsid w:val="003E32AF"/>
    <w:rsid w:val="003F0D53"/>
    <w:rsid w:val="003F4CC1"/>
    <w:rsid w:val="003F57DA"/>
    <w:rsid w:val="003F6200"/>
    <w:rsid w:val="00400A20"/>
    <w:rsid w:val="00407283"/>
    <w:rsid w:val="0041013B"/>
    <w:rsid w:val="00413938"/>
    <w:rsid w:val="00416DCA"/>
    <w:rsid w:val="004173D8"/>
    <w:rsid w:val="00422754"/>
    <w:rsid w:val="0042558C"/>
    <w:rsid w:val="00426CC3"/>
    <w:rsid w:val="00432242"/>
    <w:rsid w:val="00432467"/>
    <w:rsid w:val="0043701D"/>
    <w:rsid w:val="004431C0"/>
    <w:rsid w:val="00443E8E"/>
    <w:rsid w:val="004475ED"/>
    <w:rsid w:val="004513FA"/>
    <w:rsid w:val="00457372"/>
    <w:rsid w:val="00476A8B"/>
    <w:rsid w:val="00482806"/>
    <w:rsid w:val="00492D84"/>
    <w:rsid w:val="00493F4C"/>
    <w:rsid w:val="004A38EA"/>
    <w:rsid w:val="004A47C2"/>
    <w:rsid w:val="004A6656"/>
    <w:rsid w:val="004B28C2"/>
    <w:rsid w:val="004B3B7B"/>
    <w:rsid w:val="004C1E93"/>
    <w:rsid w:val="004C3478"/>
    <w:rsid w:val="004C43BE"/>
    <w:rsid w:val="004C7DC4"/>
    <w:rsid w:val="004D49E6"/>
    <w:rsid w:val="004D5A03"/>
    <w:rsid w:val="004E22CE"/>
    <w:rsid w:val="004E231F"/>
    <w:rsid w:val="004E5D63"/>
    <w:rsid w:val="004F034A"/>
    <w:rsid w:val="004F26FD"/>
    <w:rsid w:val="00500ABF"/>
    <w:rsid w:val="00501B90"/>
    <w:rsid w:val="00502A9B"/>
    <w:rsid w:val="00504D8E"/>
    <w:rsid w:val="0050654E"/>
    <w:rsid w:val="00507B48"/>
    <w:rsid w:val="005106FC"/>
    <w:rsid w:val="00512A8E"/>
    <w:rsid w:val="00515827"/>
    <w:rsid w:val="0052017E"/>
    <w:rsid w:val="005251E7"/>
    <w:rsid w:val="0052775B"/>
    <w:rsid w:val="00531C20"/>
    <w:rsid w:val="00533168"/>
    <w:rsid w:val="00535146"/>
    <w:rsid w:val="00536C34"/>
    <w:rsid w:val="00545FCA"/>
    <w:rsid w:val="00556FAB"/>
    <w:rsid w:val="00557DF6"/>
    <w:rsid w:val="00563095"/>
    <w:rsid w:val="00567B3A"/>
    <w:rsid w:val="00572D7C"/>
    <w:rsid w:val="00573042"/>
    <w:rsid w:val="00574923"/>
    <w:rsid w:val="00576C02"/>
    <w:rsid w:val="00576C56"/>
    <w:rsid w:val="0058353F"/>
    <w:rsid w:val="00583E69"/>
    <w:rsid w:val="0058531B"/>
    <w:rsid w:val="0059061F"/>
    <w:rsid w:val="00590B46"/>
    <w:rsid w:val="005942A6"/>
    <w:rsid w:val="005A341A"/>
    <w:rsid w:val="005A6146"/>
    <w:rsid w:val="005B23F1"/>
    <w:rsid w:val="005B4152"/>
    <w:rsid w:val="005C4DD9"/>
    <w:rsid w:val="005C5098"/>
    <w:rsid w:val="005C5515"/>
    <w:rsid w:val="005D19B0"/>
    <w:rsid w:val="005D37DF"/>
    <w:rsid w:val="005D4391"/>
    <w:rsid w:val="005E29FA"/>
    <w:rsid w:val="005F1982"/>
    <w:rsid w:val="006014EE"/>
    <w:rsid w:val="006049FE"/>
    <w:rsid w:val="00605DAB"/>
    <w:rsid w:val="006073F9"/>
    <w:rsid w:val="0060749C"/>
    <w:rsid w:val="00607A23"/>
    <w:rsid w:val="00615DC8"/>
    <w:rsid w:val="00616D3D"/>
    <w:rsid w:val="006179A1"/>
    <w:rsid w:val="006276E4"/>
    <w:rsid w:val="0063418B"/>
    <w:rsid w:val="0063632B"/>
    <w:rsid w:val="006415F3"/>
    <w:rsid w:val="006422E1"/>
    <w:rsid w:val="00657659"/>
    <w:rsid w:val="006579C9"/>
    <w:rsid w:val="00662E0B"/>
    <w:rsid w:val="00664B18"/>
    <w:rsid w:val="00664ED9"/>
    <w:rsid w:val="00666DE4"/>
    <w:rsid w:val="00671083"/>
    <w:rsid w:val="00671451"/>
    <w:rsid w:val="00673C01"/>
    <w:rsid w:val="00682CD8"/>
    <w:rsid w:val="006863EB"/>
    <w:rsid w:val="00693BC1"/>
    <w:rsid w:val="00696FD5"/>
    <w:rsid w:val="00696FEE"/>
    <w:rsid w:val="006972EE"/>
    <w:rsid w:val="006A3EF6"/>
    <w:rsid w:val="006A476B"/>
    <w:rsid w:val="006A4A89"/>
    <w:rsid w:val="006A550E"/>
    <w:rsid w:val="006A5DFB"/>
    <w:rsid w:val="006B05D2"/>
    <w:rsid w:val="006C1B86"/>
    <w:rsid w:val="006C1E0C"/>
    <w:rsid w:val="006C2599"/>
    <w:rsid w:val="006D23C4"/>
    <w:rsid w:val="006D3BC0"/>
    <w:rsid w:val="006E7DB5"/>
    <w:rsid w:val="006F124D"/>
    <w:rsid w:val="006F20B3"/>
    <w:rsid w:val="006F3ECC"/>
    <w:rsid w:val="006F71E3"/>
    <w:rsid w:val="006F786F"/>
    <w:rsid w:val="00700C7B"/>
    <w:rsid w:val="00701265"/>
    <w:rsid w:val="00701788"/>
    <w:rsid w:val="007019E8"/>
    <w:rsid w:val="007032DB"/>
    <w:rsid w:val="007069B0"/>
    <w:rsid w:val="00707FE4"/>
    <w:rsid w:val="00712777"/>
    <w:rsid w:val="007129A6"/>
    <w:rsid w:val="00712E6C"/>
    <w:rsid w:val="00722772"/>
    <w:rsid w:val="007236A0"/>
    <w:rsid w:val="007277D9"/>
    <w:rsid w:val="00731684"/>
    <w:rsid w:val="00731B6B"/>
    <w:rsid w:val="007327FA"/>
    <w:rsid w:val="00733E36"/>
    <w:rsid w:val="00734911"/>
    <w:rsid w:val="007416A3"/>
    <w:rsid w:val="00743059"/>
    <w:rsid w:val="00744B11"/>
    <w:rsid w:val="00747298"/>
    <w:rsid w:val="00753E1C"/>
    <w:rsid w:val="007631AD"/>
    <w:rsid w:val="0077211D"/>
    <w:rsid w:val="00775D80"/>
    <w:rsid w:val="00776DB5"/>
    <w:rsid w:val="00776EBA"/>
    <w:rsid w:val="007923C1"/>
    <w:rsid w:val="007A0772"/>
    <w:rsid w:val="007A1165"/>
    <w:rsid w:val="007A5361"/>
    <w:rsid w:val="007A5DA9"/>
    <w:rsid w:val="007B1CE0"/>
    <w:rsid w:val="007C1235"/>
    <w:rsid w:val="007C153F"/>
    <w:rsid w:val="007C2F35"/>
    <w:rsid w:val="007C5058"/>
    <w:rsid w:val="007D09DB"/>
    <w:rsid w:val="007D3320"/>
    <w:rsid w:val="007D61B4"/>
    <w:rsid w:val="007E0AC6"/>
    <w:rsid w:val="007E3BCC"/>
    <w:rsid w:val="007F1F59"/>
    <w:rsid w:val="007F7850"/>
    <w:rsid w:val="00800BE5"/>
    <w:rsid w:val="00804962"/>
    <w:rsid w:val="0080590E"/>
    <w:rsid w:val="00805C4D"/>
    <w:rsid w:val="00810318"/>
    <w:rsid w:val="00814383"/>
    <w:rsid w:val="00821A9A"/>
    <w:rsid w:val="0082592A"/>
    <w:rsid w:val="00825D47"/>
    <w:rsid w:val="00831318"/>
    <w:rsid w:val="00831B0A"/>
    <w:rsid w:val="0083568C"/>
    <w:rsid w:val="00836316"/>
    <w:rsid w:val="00837FE9"/>
    <w:rsid w:val="00840D2A"/>
    <w:rsid w:val="00843F3E"/>
    <w:rsid w:val="0085342F"/>
    <w:rsid w:val="008617AE"/>
    <w:rsid w:val="0086227A"/>
    <w:rsid w:val="008639A5"/>
    <w:rsid w:val="00864FA1"/>
    <w:rsid w:val="0086751C"/>
    <w:rsid w:val="00867CFE"/>
    <w:rsid w:val="00871D2E"/>
    <w:rsid w:val="008811E5"/>
    <w:rsid w:val="008819DA"/>
    <w:rsid w:val="0089135C"/>
    <w:rsid w:val="008923E5"/>
    <w:rsid w:val="00897F8C"/>
    <w:rsid w:val="008A06E6"/>
    <w:rsid w:val="008A1C04"/>
    <w:rsid w:val="008A3DEC"/>
    <w:rsid w:val="008A72A7"/>
    <w:rsid w:val="008B5D30"/>
    <w:rsid w:val="008B5D92"/>
    <w:rsid w:val="008C151C"/>
    <w:rsid w:val="008C1F8A"/>
    <w:rsid w:val="008C301A"/>
    <w:rsid w:val="008C79EC"/>
    <w:rsid w:val="008D2531"/>
    <w:rsid w:val="008D45E5"/>
    <w:rsid w:val="008E2A50"/>
    <w:rsid w:val="008E72B8"/>
    <w:rsid w:val="008F1F2D"/>
    <w:rsid w:val="008F3080"/>
    <w:rsid w:val="008F4B3F"/>
    <w:rsid w:val="008F5272"/>
    <w:rsid w:val="00900E09"/>
    <w:rsid w:val="009028DB"/>
    <w:rsid w:val="0091545C"/>
    <w:rsid w:val="00922CAD"/>
    <w:rsid w:val="00926620"/>
    <w:rsid w:val="00926E90"/>
    <w:rsid w:val="00931524"/>
    <w:rsid w:val="00931B11"/>
    <w:rsid w:val="009326F7"/>
    <w:rsid w:val="009328F5"/>
    <w:rsid w:val="00937352"/>
    <w:rsid w:val="0094063B"/>
    <w:rsid w:val="009409E3"/>
    <w:rsid w:val="0094117F"/>
    <w:rsid w:val="009439F4"/>
    <w:rsid w:val="00944BD9"/>
    <w:rsid w:val="0095012E"/>
    <w:rsid w:val="00954520"/>
    <w:rsid w:val="009566FE"/>
    <w:rsid w:val="00956E25"/>
    <w:rsid w:val="009571FA"/>
    <w:rsid w:val="00962DD0"/>
    <w:rsid w:val="00964054"/>
    <w:rsid w:val="0096640A"/>
    <w:rsid w:val="00975896"/>
    <w:rsid w:val="00983965"/>
    <w:rsid w:val="00993A1F"/>
    <w:rsid w:val="00994626"/>
    <w:rsid w:val="009946BF"/>
    <w:rsid w:val="00995F43"/>
    <w:rsid w:val="009A635E"/>
    <w:rsid w:val="009A7D48"/>
    <w:rsid w:val="009A7D80"/>
    <w:rsid w:val="009B0C07"/>
    <w:rsid w:val="009B33EA"/>
    <w:rsid w:val="009D0594"/>
    <w:rsid w:val="009D1A93"/>
    <w:rsid w:val="009D1B7A"/>
    <w:rsid w:val="009D20C8"/>
    <w:rsid w:val="009D5CBD"/>
    <w:rsid w:val="009E1635"/>
    <w:rsid w:val="009F4A3D"/>
    <w:rsid w:val="009F5168"/>
    <w:rsid w:val="009F7489"/>
    <w:rsid w:val="009F7FEB"/>
    <w:rsid w:val="00A045BE"/>
    <w:rsid w:val="00A10966"/>
    <w:rsid w:val="00A11E52"/>
    <w:rsid w:val="00A23964"/>
    <w:rsid w:val="00A244F3"/>
    <w:rsid w:val="00A30E43"/>
    <w:rsid w:val="00A31408"/>
    <w:rsid w:val="00A36615"/>
    <w:rsid w:val="00A37892"/>
    <w:rsid w:val="00A37E05"/>
    <w:rsid w:val="00A42C1E"/>
    <w:rsid w:val="00A42E05"/>
    <w:rsid w:val="00A4377C"/>
    <w:rsid w:val="00A471C0"/>
    <w:rsid w:val="00A473E0"/>
    <w:rsid w:val="00A474CE"/>
    <w:rsid w:val="00A47EBC"/>
    <w:rsid w:val="00A544D4"/>
    <w:rsid w:val="00A55C24"/>
    <w:rsid w:val="00A61D20"/>
    <w:rsid w:val="00A61E34"/>
    <w:rsid w:val="00A62215"/>
    <w:rsid w:val="00A76F92"/>
    <w:rsid w:val="00A80297"/>
    <w:rsid w:val="00A819B9"/>
    <w:rsid w:val="00A85AAF"/>
    <w:rsid w:val="00A92330"/>
    <w:rsid w:val="00A97B57"/>
    <w:rsid w:val="00AA0F28"/>
    <w:rsid w:val="00AA19C9"/>
    <w:rsid w:val="00AA3BDF"/>
    <w:rsid w:val="00AB22F0"/>
    <w:rsid w:val="00AE3614"/>
    <w:rsid w:val="00AE4E36"/>
    <w:rsid w:val="00AE6891"/>
    <w:rsid w:val="00AE79DC"/>
    <w:rsid w:val="00AF3969"/>
    <w:rsid w:val="00AF5064"/>
    <w:rsid w:val="00B016B3"/>
    <w:rsid w:val="00B05CB2"/>
    <w:rsid w:val="00B10D60"/>
    <w:rsid w:val="00B13ACF"/>
    <w:rsid w:val="00B14CD0"/>
    <w:rsid w:val="00B1775A"/>
    <w:rsid w:val="00B22030"/>
    <w:rsid w:val="00B261D1"/>
    <w:rsid w:val="00B27BF1"/>
    <w:rsid w:val="00B311E1"/>
    <w:rsid w:val="00B3545C"/>
    <w:rsid w:val="00B35DC4"/>
    <w:rsid w:val="00B45CB8"/>
    <w:rsid w:val="00B47B02"/>
    <w:rsid w:val="00B54295"/>
    <w:rsid w:val="00B6120D"/>
    <w:rsid w:val="00B66E61"/>
    <w:rsid w:val="00B733E8"/>
    <w:rsid w:val="00B778EB"/>
    <w:rsid w:val="00B80F42"/>
    <w:rsid w:val="00B82BB5"/>
    <w:rsid w:val="00B86BFE"/>
    <w:rsid w:val="00B871BC"/>
    <w:rsid w:val="00B87551"/>
    <w:rsid w:val="00B9127B"/>
    <w:rsid w:val="00B91B3C"/>
    <w:rsid w:val="00B92B21"/>
    <w:rsid w:val="00BA23DD"/>
    <w:rsid w:val="00BA2B04"/>
    <w:rsid w:val="00BA2D8E"/>
    <w:rsid w:val="00BB05A8"/>
    <w:rsid w:val="00BB05DC"/>
    <w:rsid w:val="00BB3922"/>
    <w:rsid w:val="00BB503D"/>
    <w:rsid w:val="00BB688B"/>
    <w:rsid w:val="00BC0A8A"/>
    <w:rsid w:val="00BC0C9D"/>
    <w:rsid w:val="00BC45B3"/>
    <w:rsid w:val="00BC45C5"/>
    <w:rsid w:val="00BC6303"/>
    <w:rsid w:val="00BD5DFA"/>
    <w:rsid w:val="00BD5F9A"/>
    <w:rsid w:val="00BE257F"/>
    <w:rsid w:val="00BE2E05"/>
    <w:rsid w:val="00BE42BD"/>
    <w:rsid w:val="00BE5B0A"/>
    <w:rsid w:val="00BF1AB7"/>
    <w:rsid w:val="00BF72A9"/>
    <w:rsid w:val="00C04F56"/>
    <w:rsid w:val="00C10B95"/>
    <w:rsid w:val="00C114AE"/>
    <w:rsid w:val="00C250F7"/>
    <w:rsid w:val="00C3305C"/>
    <w:rsid w:val="00C33287"/>
    <w:rsid w:val="00C34F6D"/>
    <w:rsid w:val="00C3520C"/>
    <w:rsid w:val="00C3796F"/>
    <w:rsid w:val="00C46527"/>
    <w:rsid w:val="00C5037C"/>
    <w:rsid w:val="00C636FD"/>
    <w:rsid w:val="00C664EF"/>
    <w:rsid w:val="00C76C57"/>
    <w:rsid w:val="00C76FCC"/>
    <w:rsid w:val="00C778E7"/>
    <w:rsid w:val="00C800B8"/>
    <w:rsid w:val="00C80171"/>
    <w:rsid w:val="00C802B5"/>
    <w:rsid w:val="00C81E13"/>
    <w:rsid w:val="00C850B5"/>
    <w:rsid w:val="00C90726"/>
    <w:rsid w:val="00C972B2"/>
    <w:rsid w:val="00C97E3D"/>
    <w:rsid w:val="00CA3B4A"/>
    <w:rsid w:val="00CA3C55"/>
    <w:rsid w:val="00CA40DD"/>
    <w:rsid w:val="00CB0157"/>
    <w:rsid w:val="00CB087D"/>
    <w:rsid w:val="00CB0F46"/>
    <w:rsid w:val="00CB373D"/>
    <w:rsid w:val="00CB40B5"/>
    <w:rsid w:val="00CB48C5"/>
    <w:rsid w:val="00CB691E"/>
    <w:rsid w:val="00CC1B3F"/>
    <w:rsid w:val="00CC233A"/>
    <w:rsid w:val="00CC257A"/>
    <w:rsid w:val="00CC2E3A"/>
    <w:rsid w:val="00CC7938"/>
    <w:rsid w:val="00CD0310"/>
    <w:rsid w:val="00CD13D5"/>
    <w:rsid w:val="00CE1208"/>
    <w:rsid w:val="00CE33AA"/>
    <w:rsid w:val="00CE6521"/>
    <w:rsid w:val="00CE7D60"/>
    <w:rsid w:val="00CE7E18"/>
    <w:rsid w:val="00CE7E6C"/>
    <w:rsid w:val="00CF0006"/>
    <w:rsid w:val="00CF4EEF"/>
    <w:rsid w:val="00D0221E"/>
    <w:rsid w:val="00D0387E"/>
    <w:rsid w:val="00D05031"/>
    <w:rsid w:val="00D05596"/>
    <w:rsid w:val="00D0700C"/>
    <w:rsid w:val="00D1042C"/>
    <w:rsid w:val="00D114E6"/>
    <w:rsid w:val="00D118D2"/>
    <w:rsid w:val="00D17D0D"/>
    <w:rsid w:val="00D202FE"/>
    <w:rsid w:val="00D2039D"/>
    <w:rsid w:val="00D430E8"/>
    <w:rsid w:val="00D4350E"/>
    <w:rsid w:val="00D47492"/>
    <w:rsid w:val="00D51727"/>
    <w:rsid w:val="00D57FC3"/>
    <w:rsid w:val="00D6345B"/>
    <w:rsid w:val="00D63D5D"/>
    <w:rsid w:val="00D66A03"/>
    <w:rsid w:val="00D700A4"/>
    <w:rsid w:val="00D769C0"/>
    <w:rsid w:val="00D8056C"/>
    <w:rsid w:val="00D82201"/>
    <w:rsid w:val="00D82980"/>
    <w:rsid w:val="00D86F7B"/>
    <w:rsid w:val="00D93F46"/>
    <w:rsid w:val="00D9573D"/>
    <w:rsid w:val="00D95CA0"/>
    <w:rsid w:val="00D9774F"/>
    <w:rsid w:val="00DA24ED"/>
    <w:rsid w:val="00DA39BA"/>
    <w:rsid w:val="00DB356E"/>
    <w:rsid w:val="00DC0A90"/>
    <w:rsid w:val="00DC23FA"/>
    <w:rsid w:val="00DC7A07"/>
    <w:rsid w:val="00DD2791"/>
    <w:rsid w:val="00DD4336"/>
    <w:rsid w:val="00DD743D"/>
    <w:rsid w:val="00DE086E"/>
    <w:rsid w:val="00DE0A96"/>
    <w:rsid w:val="00DE44ED"/>
    <w:rsid w:val="00DE5C55"/>
    <w:rsid w:val="00DF01F8"/>
    <w:rsid w:val="00DF78C0"/>
    <w:rsid w:val="00E01C62"/>
    <w:rsid w:val="00E01DFF"/>
    <w:rsid w:val="00E02781"/>
    <w:rsid w:val="00E0555B"/>
    <w:rsid w:val="00E07DF5"/>
    <w:rsid w:val="00E07E21"/>
    <w:rsid w:val="00E10BAF"/>
    <w:rsid w:val="00E11B04"/>
    <w:rsid w:val="00E21867"/>
    <w:rsid w:val="00E25739"/>
    <w:rsid w:val="00E25D65"/>
    <w:rsid w:val="00E35523"/>
    <w:rsid w:val="00E35670"/>
    <w:rsid w:val="00E367A3"/>
    <w:rsid w:val="00E36E69"/>
    <w:rsid w:val="00E406BE"/>
    <w:rsid w:val="00E40F02"/>
    <w:rsid w:val="00E4492E"/>
    <w:rsid w:val="00E51188"/>
    <w:rsid w:val="00E51354"/>
    <w:rsid w:val="00E567E0"/>
    <w:rsid w:val="00E61BC9"/>
    <w:rsid w:val="00E63249"/>
    <w:rsid w:val="00E64FCA"/>
    <w:rsid w:val="00E6751A"/>
    <w:rsid w:val="00E67825"/>
    <w:rsid w:val="00E72A2B"/>
    <w:rsid w:val="00E73485"/>
    <w:rsid w:val="00E81AAB"/>
    <w:rsid w:val="00E83AEF"/>
    <w:rsid w:val="00E9066B"/>
    <w:rsid w:val="00E909D5"/>
    <w:rsid w:val="00E92CCA"/>
    <w:rsid w:val="00E97022"/>
    <w:rsid w:val="00EA25ED"/>
    <w:rsid w:val="00EA74DE"/>
    <w:rsid w:val="00EB00E4"/>
    <w:rsid w:val="00EB184A"/>
    <w:rsid w:val="00EB284B"/>
    <w:rsid w:val="00EB7418"/>
    <w:rsid w:val="00EC21FC"/>
    <w:rsid w:val="00EC270C"/>
    <w:rsid w:val="00EC6462"/>
    <w:rsid w:val="00EC6C81"/>
    <w:rsid w:val="00ED294C"/>
    <w:rsid w:val="00ED6127"/>
    <w:rsid w:val="00EE302A"/>
    <w:rsid w:val="00EF2F63"/>
    <w:rsid w:val="00EF4306"/>
    <w:rsid w:val="00F0067F"/>
    <w:rsid w:val="00F03791"/>
    <w:rsid w:val="00F058B8"/>
    <w:rsid w:val="00F05AE1"/>
    <w:rsid w:val="00F15212"/>
    <w:rsid w:val="00F22459"/>
    <w:rsid w:val="00F30AAB"/>
    <w:rsid w:val="00F3433C"/>
    <w:rsid w:val="00F345CD"/>
    <w:rsid w:val="00F352DB"/>
    <w:rsid w:val="00F358B1"/>
    <w:rsid w:val="00F36AB7"/>
    <w:rsid w:val="00F41C90"/>
    <w:rsid w:val="00F42474"/>
    <w:rsid w:val="00F51D89"/>
    <w:rsid w:val="00F54D86"/>
    <w:rsid w:val="00F718B6"/>
    <w:rsid w:val="00F76248"/>
    <w:rsid w:val="00F76A49"/>
    <w:rsid w:val="00F83DFB"/>
    <w:rsid w:val="00F870B5"/>
    <w:rsid w:val="00F92B02"/>
    <w:rsid w:val="00F96A6F"/>
    <w:rsid w:val="00FA192F"/>
    <w:rsid w:val="00FA1A9E"/>
    <w:rsid w:val="00FA2A02"/>
    <w:rsid w:val="00FA6220"/>
    <w:rsid w:val="00FA7C53"/>
    <w:rsid w:val="00FB40E0"/>
    <w:rsid w:val="00FB61DD"/>
    <w:rsid w:val="00FB6958"/>
    <w:rsid w:val="00FB779F"/>
    <w:rsid w:val="00FC34B0"/>
    <w:rsid w:val="00FC368E"/>
    <w:rsid w:val="00FC63AE"/>
    <w:rsid w:val="00FD09AD"/>
    <w:rsid w:val="00FD1970"/>
    <w:rsid w:val="00FD7B58"/>
    <w:rsid w:val="00FD7B90"/>
    <w:rsid w:val="00FE0731"/>
    <w:rsid w:val="00FE1FB5"/>
    <w:rsid w:val="00FE3521"/>
    <w:rsid w:val="00FE4C82"/>
    <w:rsid w:val="00FE7C0C"/>
    <w:rsid w:val="00FF0490"/>
    <w:rsid w:val="00FF30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9F3817"/>
  <w14:defaultImageDpi w14:val="32767"/>
  <w15:chartTrackingRefBased/>
  <w15:docId w15:val="{C4AC1652-CAA9-48DE-9BE1-FE229886FB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rsid w:val="001960E1"/>
  </w:style>
  <w:style w:type="paragraph" w:styleId="Heading1">
    <w:name w:val="heading 1"/>
    <w:basedOn w:val="Normal"/>
    <w:next w:val="Normal"/>
    <w:link w:val="Heading1Char"/>
    <w:uiPriority w:val="9"/>
    <w:qFormat/>
    <w:rsid w:val="00BB05DC"/>
    <w:pPr>
      <w:tabs>
        <w:tab w:val="left" w:pos="-270"/>
      </w:tabs>
      <w:spacing w:after="360" w:line="180" w:lineRule="auto"/>
      <w:ind w:left="-274"/>
      <w:outlineLvl w:val="0"/>
    </w:pPr>
    <w:rPr>
      <w:rFonts w:ascii="Arial Black" w:hAnsi="Arial Black"/>
      <w:sz w:val="56"/>
      <w:szCs w:val="56"/>
    </w:rPr>
  </w:style>
  <w:style w:type="paragraph" w:styleId="Heading2">
    <w:name w:val="heading 2"/>
    <w:basedOn w:val="Normal"/>
    <w:next w:val="Normal"/>
    <w:link w:val="Heading2Char"/>
    <w:uiPriority w:val="9"/>
    <w:unhideWhenUsed/>
    <w:qFormat/>
    <w:rsid w:val="00BB05DC"/>
    <w:pPr>
      <w:keepNext/>
      <w:keepLines/>
      <w:spacing w:before="720" w:after="240" w:line="276" w:lineRule="auto"/>
      <w:outlineLvl w:val="1"/>
    </w:pPr>
    <w:rPr>
      <w:rFonts w:ascii="Arial" w:eastAsiaTheme="majorEastAsia" w:hAnsi="Arial" w:cs="Arial"/>
      <w:b/>
      <w:bCs/>
      <w:sz w:val="48"/>
      <w:szCs w:val="48"/>
    </w:rPr>
  </w:style>
  <w:style w:type="paragraph" w:styleId="Heading3">
    <w:name w:val="heading 3"/>
    <w:basedOn w:val="Normal"/>
    <w:next w:val="Normal"/>
    <w:link w:val="Heading3Char"/>
    <w:uiPriority w:val="9"/>
    <w:unhideWhenUsed/>
    <w:qFormat/>
    <w:rsid w:val="00CB40B5"/>
    <w:pPr>
      <w:keepNext/>
      <w:keepLines/>
      <w:shd w:val="clear" w:color="auto" w:fill="FFF200"/>
      <w:spacing w:before="480" w:after="80" w:line="276" w:lineRule="auto"/>
      <w:outlineLvl w:val="2"/>
    </w:pPr>
    <w:rPr>
      <w:rFonts w:ascii="Arial" w:eastAsia="Times New Roman" w:hAnsi="Arial" w:cs="Arial"/>
      <w:b/>
      <w:bCs/>
      <w:sz w:val="32"/>
      <w:szCs w:val="32"/>
    </w:rPr>
  </w:style>
  <w:style w:type="paragraph" w:styleId="Heading4">
    <w:name w:val="heading 4"/>
    <w:basedOn w:val="Normal"/>
    <w:next w:val="Normal"/>
    <w:link w:val="Heading4Char"/>
    <w:uiPriority w:val="9"/>
    <w:unhideWhenUsed/>
    <w:qFormat/>
    <w:rsid w:val="001B7B0A"/>
    <w:pPr>
      <w:keepNext/>
      <w:keepLines/>
      <w:spacing w:before="40"/>
      <w:outlineLvl w:val="3"/>
    </w:pPr>
    <w:rPr>
      <w:rFonts w:ascii="Arial" w:eastAsia="Times New Roman" w:hAnsi="Arial" w:cs="Arial"/>
      <w:b/>
      <w:bCs/>
      <w:sz w:val="30"/>
      <w:szCs w:val="30"/>
    </w:rPr>
  </w:style>
  <w:style w:type="paragraph" w:styleId="Heading5">
    <w:name w:val="heading 5"/>
    <w:basedOn w:val="Normal"/>
    <w:next w:val="Normal"/>
    <w:link w:val="Heading5Char"/>
    <w:uiPriority w:val="9"/>
    <w:unhideWhenUsed/>
    <w:qFormat/>
    <w:rsid w:val="001B7B0A"/>
    <w:pPr>
      <w:keepNext/>
      <w:keepLines/>
      <w:spacing w:before="40"/>
      <w:outlineLvl w:val="4"/>
    </w:pPr>
    <w:rPr>
      <w:rFonts w:ascii="Arial" w:eastAsia="Times New Roman" w:hAnsi="Arial" w:cs="Arial"/>
      <w:b/>
      <w:bCs/>
      <w:i/>
      <w:iCs/>
      <w:sz w:val="28"/>
      <w:szCs w:val="28"/>
    </w:rPr>
  </w:style>
  <w:style w:type="paragraph" w:styleId="Heading6">
    <w:name w:val="heading 6"/>
    <w:basedOn w:val="Normal"/>
    <w:next w:val="Normal"/>
    <w:link w:val="Heading6Char"/>
    <w:uiPriority w:val="9"/>
    <w:semiHidden/>
    <w:unhideWhenUsed/>
    <w:qFormat/>
    <w:rsid w:val="006579C9"/>
    <w:pPr>
      <w:keepNext/>
      <w:keepLines/>
      <w:spacing w:before="40" w:line="300" w:lineRule="auto"/>
      <w:outlineLvl w:val="5"/>
    </w:pPr>
    <w:rPr>
      <w:rFonts w:ascii="Arial" w:eastAsiaTheme="majorEastAsia" w:hAnsi="Arial" w:cstheme="majorBidi"/>
      <w:i/>
      <w:iCs/>
      <w:color w:val="595959" w:themeColor="text1" w:themeTint="A6"/>
      <w:kern w:val="2"/>
      <w:sz w:val="28"/>
      <w:szCs w:val="28"/>
      <w14:ligatures w14:val="standardContextual"/>
    </w:rPr>
  </w:style>
  <w:style w:type="paragraph" w:styleId="Heading7">
    <w:name w:val="heading 7"/>
    <w:basedOn w:val="Normal"/>
    <w:next w:val="Normal"/>
    <w:link w:val="Heading7Char"/>
    <w:uiPriority w:val="9"/>
    <w:semiHidden/>
    <w:unhideWhenUsed/>
    <w:qFormat/>
    <w:rsid w:val="006579C9"/>
    <w:pPr>
      <w:keepNext/>
      <w:keepLines/>
      <w:spacing w:before="40" w:line="300" w:lineRule="auto"/>
      <w:outlineLvl w:val="6"/>
    </w:pPr>
    <w:rPr>
      <w:rFonts w:ascii="Arial" w:eastAsiaTheme="majorEastAsia" w:hAnsi="Arial" w:cstheme="majorBidi"/>
      <w:color w:val="595959" w:themeColor="text1" w:themeTint="A6"/>
      <w:kern w:val="2"/>
      <w:sz w:val="28"/>
      <w:szCs w:val="28"/>
      <w14:ligatures w14:val="standardContextual"/>
    </w:rPr>
  </w:style>
  <w:style w:type="paragraph" w:styleId="Heading8">
    <w:name w:val="heading 8"/>
    <w:basedOn w:val="Normal"/>
    <w:next w:val="Normal"/>
    <w:link w:val="Heading8Char"/>
    <w:uiPriority w:val="9"/>
    <w:semiHidden/>
    <w:unhideWhenUsed/>
    <w:qFormat/>
    <w:rsid w:val="006579C9"/>
    <w:pPr>
      <w:keepNext/>
      <w:keepLines/>
      <w:spacing w:before="240" w:line="300" w:lineRule="auto"/>
      <w:outlineLvl w:val="7"/>
    </w:pPr>
    <w:rPr>
      <w:rFonts w:ascii="Arial" w:eastAsiaTheme="majorEastAsia" w:hAnsi="Arial" w:cstheme="majorBidi"/>
      <w:i/>
      <w:iCs/>
      <w:color w:val="272727" w:themeColor="text1" w:themeTint="D8"/>
      <w:kern w:val="2"/>
      <w:sz w:val="28"/>
      <w:szCs w:val="28"/>
      <w14:ligatures w14:val="standardContextual"/>
    </w:rPr>
  </w:style>
  <w:style w:type="paragraph" w:styleId="Heading9">
    <w:name w:val="heading 9"/>
    <w:basedOn w:val="Normal"/>
    <w:next w:val="Normal"/>
    <w:link w:val="Heading9Char"/>
    <w:uiPriority w:val="9"/>
    <w:semiHidden/>
    <w:unhideWhenUsed/>
    <w:qFormat/>
    <w:rsid w:val="006579C9"/>
    <w:pPr>
      <w:keepNext/>
      <w:keepLines/>
      <w:spacing w:before="240" w:line="300" w:lineRule="auto"/>
      <w:outlineLvl w:val="8"/>
    </w:pPr>
    <w:rPr>
      <w:rFonts w:ascii="Arial" w:eastAsiaTheme="majorEastAsia" w:hAnsi="Arial" w:cstheme="majorBidi"/>
      <w:color w:val="272727" w:themeColor="text1" w:themeTint="D8"/>
      <w:kern w:val="2"/>
      <w:sz w:val="28"/>
      <w:szCs w:val="28"/>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57838"/>
    <w:pPr>
      <w:tabs>
        <w:tab w:val="center" w:pos="4680"/>
        <w:tab w:val="right" w:pos="9360"/>
      </w:tabs>
    </w:pPr>
  </w:style>
  <w:style w:type="character" w:customStyle="1" w:styleId="HeaderChar">
    <w:name w:val="Header Char"/>
    <w:basedOn w:val="DefaultParagraphFont"/>
    <w:link w:val="Header"/>
    <w:uiPriority w:val="99"/>
    <w:rsid w:val="00257838"/>
  </w:style>
  <w:style w:type="paragraph" w:styleId="Footer">
    <w:name w:val="footer"/>
    <w:basedOn w:val="Normal"/>
    <w:link w:val="FooterChar"/>
    <w:uiPriority w:val="99"/>
    <w:unhideWhenUsed/>
    <w:rsid w:val="00257838"/>
    <w:pPr>
      <w:tabs>
        <w:tab w:val="center" w:pos="4680"/>
        <w:tab w:val="right" w:pos="9360"/>
      </w:tabs>
    </w:pPr>
  </w:style>
  <w:style w:type="character" w:customStyle="1" w:styleId="FooterChar">
    <w:name w:val="Footer Char"/>
    <w:basedOn w:val="DefaultParagraphFont"/>
    <w:link w:val="Footer"/>
    <w:uiPriority w:val="99"/>
    <w:rsid w:val="00257838"/>
  </w:style>
  <w:style w:type="paragraph" w:customStyle="1" w:styleId="BasicParagraph">
    <w:name w:val="[Basic Paragraph]"/>
    <w:basedOn w:val="Normal"/>
    <w:uiPriority w:val="99"/>
    <w:rsid w:val="00983965"/>
    <w:pPr>
      <w:autoSpaceDE w:val="0"/>
      <w:autoSpaceDN w:val="0"/>
      <w:adjustRightInd w:val="0"/>
      <w:spacing w:line="288" w:lineRule="auto"/>
      <w:textAlignment w:val="center"/>
    </w:pPr>
    <w:rPr>
      <w:rFonts w:ascii="Minion Pro" w:hAnsi="Minion Pro" w:cs="Minion Pro"/>
      <w:color w:val="000000"/>
    </w:rPr>
  </w:style>
  <w:style w:type="paragraph" w:customStyle="1" w:styleId="BodyCopy">
    <w:name w:val="Body Copy"/>
    <w:basedOn w:val="NormalWeb"/>
    <w:qFormat/>
    <w:rsid w:val="00BB05A8"/>
    <w:pPr>
      <w:spacing w:before="240" w:beforeAutospacing="0" w:after="240" w:afterAutospacing="0" w:line="300" w:lineRule="auto"/>
    </w:pPr>
    <w:rPr>
      <w:rFonts w:ascii="Arial" w:hAnsi="Arial" w:cs="Arial"/>
      <w:color w:val="000000"/>
      <w:sz w:val="28"/>
      <w:szCs w:val="28"/>
      <w:lang w:val="en-US"/>
    </w:rPr>
  </w:style>
  <w:style w:type="paragraph" w:customStyle="1" w:styleId="BodyCopyWhiteinBlackBox">
    <w:name w:val="Body Copy (White) in Black Box"/>
    <w:basedOn w:val="Normal"/>
    <w:qFormat/>
    <w:rsid w:val="00375A76"/>
    <w:pPr>
      <w:ind w:left="720"/>
    </w:pPr>
    <w:rPr>
      <w:rFonts w:ascii="Arial" w:hAnsi="Arial" w:cs="Arial"/>
      <w:color w:val="FFFFFF" w:themeColor="background1"/>
    </w:rPr>
  </w:style>
  <w:style w:type="paragraph" w:styleId="NormalWeb">
    <w:name w:val="Normal (Web)"/>
    <w:basedOn w:val="Normal"/>
    <w:uiPriority w:val="99"/>
    <w:unhideWhenUsed/>
    <w:rsid w:val="00D4350E"/>
    <w:pPr>
      <w:spacing w:before="100" w:beforeAutospacing="1" w:after="100" w:afterAutospacing="1"/>
    </w:pPr>
    <w:rPr>
      <w:rFonts w:ascii="Times New Roman" w:eastAsia="Times New Roman" w:hAnsi="Times New Roman" w:cs="Times New Roman"/>
      <w:lang w:val="en-CA"/>
    </w:rPr>
  </w:style>
  <w:style w:type="table" w:styleId="TableGrid">
    <w:name w:val="Table Grid"/>
    <w:basedOn w:val="TableNormal"/>
    <w:uiPriority w:val="39"/>
    <w:rsid w:val="00941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BodyCopy"/>
    <w:uiPriority w:val="34"/>
    <w:qFormat/>
    <w:rsid w:val="008E72B8"/>
    <w:pPr>
      <w:numPr>
        <w:numId w:val="6"/>
      </w:numPr>
      <w:spacing w:after="480"/>
      <w:contextualSpacing/>
    </w:pPr>
  </w:style>
  <w:style w:type="paragraph" w:customStyle="1" w:styleId="BodyCopy-TablesBlack">
    <w:name w:val="Body Copy - Tables (Black)"/>
    <w:basedOn w:val="Normal"/>
    <w:qFormat/>
    <w:rsid w:val="005E29FA"/>
    <w:pPr>
      <w:jc w:val="center"/>
    </w:pPr>
    <w:rPr>
      <w:rFonts w:ascii="Arial" w:hAnsi="Arial" w:cs="Arial"/>
      <w:szCs w:val="28"/>
    </w:rPr>
  </w:style>
  <w:style w:type="paragraph" w:customStyle="1" w:styleId="MainHeadline">
    <w:name w:val="Main Headline"/>
    <w:basedOn w:val="Normal"/>
    <w:qFormat/>
    <w:rsid w:val="005E29FA"/>
    <w:pPr>
      <w:spacing w:after="120" w:line="180" w:lineRule="auto"/>
    </w:pPr>
    <w:rPr>
      <w:rFonts w:ascii="Arial Black" w:hAnsi="Arial Black"/>
      <w:sz w:val="82"/>
      <w:szCs w:val="82"/>
      <w:lang w:val="en-CA"/>
    </w:rPr>
  </w:style>
  <w:style w:type="paragraph" w:customStyle="1" w:styleId="Sub-Heading">
    <w:name w:val="Sub-Heading"/>
    <w:basedOn w:val="Normal"/>
    <w:qFormat/>
    <w:rsid w:val="005E29FA"/>
    <w:rPr>
      <w:rFonts w:ascii="Arial Black" w:hAnsi="Arial Black"/>
      <w:sz w:val="36"/>
      <w:szCs w:val="36"/>
      <w:lang w:val="en-CA"/>
    </w:rPr>
  </w:style>
  <w:style w:type="character" w:styleId="Hyperlink">
    <w:name w:val="Hyperlink"/>
    <w:basedOn w:val="DefaultParagraphFont"/>
    <w:uiPriority w:val="99"/>
    <w:unhideWhenUsed/>
    <w:rsid w:val="00B311E1"/>
    <w:rPr>
      <w:color w:val="0563C1" w:themeColor="hyperlink"/>
      <w:u w:val="single"/>
    </w:rPr>
  </w:style>
  <w:style w:type="character" w:styleId="CommentReference">
    <w:name w:val="annotation reference"/>
    <w:basedOn w:val="DefaultParagraphFont"/>
    <w:uiPriority w:val="99"/>
    <w:semiHidden/>
    <w:unhideWhenUsed/>
    <w:rsid w:val="006179A1"/>
    <w:rPr>
      <w:sz w:val="16"/>
      <w:szCs w:val="16"/>
    </w:rPr>
  </w:style>
  <w:style w:type="paragraph" w:styleId="CommentText">
    <w:name w:val="annotation text"/>
    <w:basedOn w:val="Normal"/>
    <w:link w:val="CommentTextChar"/>
    <w:uiPriority w:val="99"/>
    <w:unhideWhenUsed/>
    <w:rsid w:val="006179A1"/>
    <w:rPr>
      <w:sz w:val="20"/>
      <w:szCs w:val="20"/>
    </w:rPr>
  </w:style>
  <w:style w:type="character" w:customStyle="1" w:styleId="CommentTextChar">
    <w:name w:val="Comment Text Char"/>
    <w:basedOn w:val="DefaultParagraphFont"/>
    <w:link w:val="CommentText"/>
    <w:uiPriority w:val="99"/>
    <w:rsid w:val="006179A1"/>
    <w:rPr>
      <w:sz w:val="20"/>
      <w:szCs w:val="20"/>
    </w:rPr>
  </w:style>
  <w:style w:type="paragraph" w:styleId="CommentSubject">
    <w:name w:val="annotation subject"/>
    <w:basedOn w:val="CommentText"/>
    <w:next w:val="CommentText"/>
    <w:link w:val="CommentSubjectChar"/>
    <w:uiPriority w:val="99"/>
    <w:semiHidden/>
    <w:unhideWhenUsed/>
    <w:rsid w:val="006179A1"/>
    <w:rPr>
      <w:b/>
      <w:bCs/>
    </w:rPr>
  </w:style>
  <w:style w:type="character" w:customStyle="1" w:styleId="CommentSubjectChar">
    <w:name w:val="Comment Subject Char"/>
    <w:basedOn w:val="CommentTextChar"/>
    <w:link w:val="CommentSubject"/>
    <w:uiPriority w:val="99"/>
    <w:semiHidden/>
    <w:rsid w:val="006179A1"/>
    <w:rPr>
      <w:b/>
      <w:bCs/>
      <w:sz w:val="20"/>
      <w:szCs w:val="20"/>
    </w:rPr>
  </w:style>
  <w:style w:type="character" w:customStyle="1" w:styleId="Heading2Char">
    <w:name w:val="Heading 2 Char"/>
    <w:basedOn w:val="DefaultParagraphFont"/>
    <w:link w:val="Heading2"/>
    <w:uiPriority w:val="9"/>
    <w:rsid w:val="00BB05DC"/>
    <w:rPr>
      <w:rFonts w:ascii="Arial" w:eastAsiaTheme="majorEastAsia" w:hAnsi="Arial" w:cs="Arial"/>
      <w:b/>
      <w:bCs/>
      <w:sz w:val="48"/>
      <w:szCs w:val="48"/>
    </w:rPr>
  </w:style>
  <w:style w:type="character" w:customStyle="1" w:styleId="Heading1Char">
    <w:name w:val="Heading 1 Char"/>
    <w:basedOn w:val="DefaultParagraphFont"/>
    <w:link w:val="Heading1"/>
    <w:uiPriority w:val="9"/>
    <w:rsid w:val="00BB05DC"/>
    <w:rPr>
      <w:rFonts w:ascii="Arial Black" w:hAnsi="Arial Black"/>
      <w:sz w:val="56"/>
      <w:szCs w:val="56"/>
    </w:rPr>
  </w:style>
  <w:style w:type="character" w:styleId="UnresolvedMention">
    <w:name w:val="Unresolved Mention"/>
    <w:basedOn w:val="DefaultParagraphFont"/>
    <w:uiPriority w:val="99"/>
    <w:rsid w:val="00432242"/>
    <w:rPr>
      <w:color w:val="605E5C"/>
      <w:shd w:val="clear" w:color="auto" w:fill="E1DFDD"/>
    </w:rPr>
  </w:style>
  <w:style w:type="character" w:customStyle="1" w:styleId="Heading3Char">
    <w:name w:val="Heading 3 Char"/>
    <w:basedOn w:val="DefaultParagraphFont"/>
    <w:link w:val="Heading3"/>
    <w:uiPriority w:val="9"/>
    <w:rsid w:val="00CB40B5"/>
    <w:rPr>
      <w:rFonts w:ascii="Arial" w:eastAsia="Times New Roman" w:hAnsi="Arial" w:cs="Arial"/>
      <w:b/>
      <w:bCs/>
      <w:sz w:val="32"/>
      <w:szCs w:val="32"/>
      <w:shd w:val="clear" w:color="auto" w:fill="FFF200"/>
    </w:rPr>
  </w:style>
  <w:style w:type="character" w:customStyle="1" w:styleId="Heading4Char">
    <w:name w:val="Heading 4 Char"/>
    <w:basedOn w:val="DefaultParagraphFont"/>
    <w:link w:val="Heading4"/>
    <w:uiPriority w:val="9"/>
    <w:rsid w:val="001B7B0A"/>
    <w:rPr>
      <w:rFonts w:ascii="Arial" w:eastAsia="Times New Roman" w:hAnsi="Arial" w:cs="Arial"/>
      <w:b/>
      <w:bCs/>
      <w:sz w:val="30"/>
      <w:szCs w:val="30"/>
    </w:rPr>
  </w:style>
  <w:style w:type="paragraph" w:styleId="ListBullet">
    <w:name w:val="List Bullet"/>
    <w:basedOn w:val="Normal"/>
    <w:uiPriority w:val="99"/>
    <w:unhideWhenUsed/>
    <w:rsid w:val="00D63D5D"/>
    <w:pPr>
      <w:numPr>
        <w:numId w:val="1"/>
      </w:numPr>
      <w:contextualSpacing/>
    </w:pPr>
  </w:style>
  <w:style w:type="character" w:customStyle="1" w:styleId="Heading5Char">
    <w:name w:val="Heading 5 Char"/>
    <w:basedOn w:val="DefaultParagraphFont"/>
    <w:link w:val="Heading5"/>
    <w:uiPriority w:val="9"/>
    <w:rsid w:val="001B7B0A"/>
    <w:rPr>
      <w:rFonts w:ascii="Arial" w:eastAsia="Times New Roman" w:hAnsi="Arial" w:cs="Arial"/>
      <w:b/>
      <w:bCs/>
      <w:i/>
      <w:iCs/>
      <w:sz w:val="28"/>
      <w:szCs w:val="28"/>
    </w:rPr>
  </w:style>
  <w:style w:type="paragraph" w:customStyle="1" w:styleId="msonormal0">
    <w:name w:val="msonormal"/>
    <w:basedOn w:val="Normal"/>
    <w:rsid w:val="00F92B02"/>
    <w:pPr>
      <w:spacing w:before="100" w:beforeAutospacing="1" w:after="100" w:afterAutospacing="1"/>
    </w:pPr>
    <w:rPr>
      <w:rFonts w:ascii="Times New Roman" w:eastAsia="Times New Roman" w:hAnsi="Times New Roman" w:cs="Times New Roman"/>
    </w:rPr>
  </w:style>
  <w:style w:type="character" w:styleId="FollowedHyperlink">
    <w:name w:val="FollowedHyperlink"/>
    <w:basedOn w:val="DefaultParagraphFont"/>
    <w:uiPriority w:val="99"/>
    <w:semiHidden/>
    <w:unhideWhenUsed/>
    <w:rsid w:val="00F92B02"/>
    <w:rPr>
      <w:strike w:val="0"/>
      <w:dstrike w:val="0"/>
      <w:color w:val="464FEB"/>
      <w:u w:val="none"/>
      <w:effect w:val="none"/>
    </w:rPr>
  </w:style>
  <w:style w:type="character" w:styleId="Strong">
    <w:name w:val="Strong"/>
    <w:basedOn w:val="DefaultParagraphFont"/>
    <w:uiPriority w:val="22"/>
    <w:qFormat/>
    <w:rsid w:val="00F92B02"/>
    <w:rPr>
      <w:b/>
      <w:bCs/>
    </w:rPr>
  </w:style>
  <w:style w:type="character" w:styleId="Emphasis">
    <w:name w:val="Emphasis"/>
    <w:basedOn w:val="DefaultParagraphFont"/>
    <w:uiPriority w:val="20"/>
    <w:qFormat/>
    <w:rsid w:val="00F92B02"/>
    <w:rPr>
      <w:i/>
      <w:iCs/>
    </w:rPr>
  </w:style>
  <w:style w:type="character" w:customStyle="1" w:styleId="fui-buttonicon">
    <w:name w:val="fui-button__icon"/>
    <w:basedOn w:val="DefaultParagraphFont"/>
    <w:rsid w:val="00F92B02"/>
  </w:style>
  <w:style w:type="character" w:customStyle="1" w:styleId="fui-menubuttonmenuicon">
    <w:name w:val="fui-menubutton__menuicon"/>
    <w:basedOn w:val="DefaultParagraphFont"/>
    <w:rsid w:val="00F92B02"/>
  </w:style>
  <w:style w:type="paragraph" w:customStyle="1" w:styleId="ccc16d0">
    <w:name w:val="___ccc16d0"/>
    <w:basedOn w:val="Normal"/>
    <w:rsid w:val="00F92B02"/>
    <w:pPr>
      <w:spacing w:before="100" w:beforeAutospacing="1" w:after="100" w:afterAutospacing="1"/>
    </w:pPr>
    <w:rPr>
      <w:rFonts w:ascii="Times New Roman" w:eastAsia="Times New Roman" w:hAnsi="Times New Roman" w:cs="Times New Roman"/>
    </w:rPr>
  </w:style>
  <w:style w:type="character" w:customStyle="1" w:styleId="Heading6Char">
    <w:name w:val="Heading 6 Char"/>
    <w:basedOn w:val="DefaultParagraphFont"/>
    <w:link w:val="Heading6"/>
    <w:uiPriority w:val="9"/>
    <w:semiHidden/>
    <w:rsid w:val="006579C9"/>
    <w:rPr>
      <w:rFonts w:ascii="Arial" w:eastAsiaTheme="majorEastAsia" w:hAnsi="Arial" w:cstheme="majorBidi"/>
      <w:i/>
      <w:iCs/>
      <w:color w:val="595959" w:themeColor="text1" w:themeTint="A6"/>
      <w:kern w:val="2"/>
      <w:sz w:val="28"/>
      <w:szCs w:val="28"/>
      <w14:ligatures w14:val="standardContextual"/>
    </w:rPr>
  </w:style>
  <w:style w:type="character" w:customStyle="1" w:styleId="Heading7Char">
    <w:name w:val="Heading 7 Char"/>
    <w:basedOn w:val="DefaultParagraphFont"/>
    <w:link w:val="Heading7"/>
    <w:uiPriority w:val="9"/>
    <w:semiHidden/>
    <w:rsid w:val="006579C9"/>
    <w:rPr>
      <w:rFonts w:ascii="Arial" w:eastAsiaTheme="majorEastAsia" w:hAnsi="Arial" w:cstheme="majorBidi"/>
      <w:color w:val="595959" w:themeColor="text1" w:themeTint="A6"/>
      <w:kern w:val="2"/>
      <w:sz w:val="28"/>
      <w:szCs w:val="28"/>
      <w14:ligatures w14:val="standardContextual"/>
    </w:rPr>
  </w:style>
  <w:style w:type="character" w:customStyle="1" w:styleId="Heading8Char">
    <w:name w:val="Heading 8 Char"/>
    <w:basedOn w:val="DefaultParagraphFont"/>
    <w:link w:val="Heading8"/>
    <w:uiPriority w:val="9"/>
    <w:semiHidden/>
    <w:rsid w:val="006579C9"/>
    <w:rPr>
      <w:rFonts w:ascii="Arial" w:eastAsiaTheme="majorEastAsia" w:hAnsi="Arial" w:cstheme="majorBidi"/>
      <w:i/>
      <w:iCs/>
      <w:color w:val="272727" w:themeColor="text1" w:themeTint="D8"/>
      <w:kern w:val="2"/>
      <w:sz w:val="28"/>
      <w:szCs w:val="28"/>
      <w14:ligatures w14:val="standardContextual"/>
    </w:rPr>
  </w:style>
  <w:style w:type="character" w:customStyle="1" w:styleId="Heading9Char">
    <w:name w:val="Heading 9 Char"/>
    <w:basedOn w:val="DefaultParagraphFont"/>
    <w:link w:val="Heading9"/>
    <w:uiPriority w:val="9"/>
    <w:semiHidden/>
    <w:rsid w:val="006579C9"/>
    <w:rPr>
      <w:rFonts w:ascii="Arial" w:eastAsiaTheme="majorEastAsia" w:hAnsi="Arial" w:cstheme="majorBidi"/>
      <w:color w:val="272727" w:themeColor="text1" w:themeTint="D8"/>
      <w:kern w:val="2"/>
      <w:sz w:val="28"/>
      <w:szCs w:val="28"/>
      <w14:ligatures w14:val="standardContextual"/>
    </w:rPr>
  </w:style>
  <w:style w:type="paragraph" w:styleId="Title">
    <w:name w:val="Title"/>
    <w:basedOn w:val="Normal"/>
    <w:next w:val="Normal"/>
    <w:link w:val="TitleChar"/>
    <w:uiPriority w:val="10"/>
    <w:qFormat/>
    <w:rsid w:val="006579C9"/>
    <w:pPr>
      <w:spacing w:before="240"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6579C9"/>
    <w:rPr>
      <w:rFonts w:asciiTheme="majorHAnsi" w:eastAsiaTheme="majorEastAsia" w:hAnsiTheme="majorHAnsi" w:cstheme="majorBidi"/>
      <w:spacing w:val="-10"/>
      <w:kern w:val="28"/>
      <w:sz w:val="56"/>
      <w:szCs w:val="56"/>
      <w14:ligatures w14:val="standardContextual"/>
    </w:rPr>
  </w:style>
  <w:style w:type="paragraph" w:styleId="Subtitle">
    <w:name w:val="Subtitle"/>
    <w:basedOn w:val="Normal"/>
    <w:next w:val="Normal"/>
    <w:link w:val="SubtitleChar"/>
    <w:uiPriority w:val="11"/>
    <w:qFormat/>
    <w:rsid w:val="006579C9"/>
    <w:pPr>
      <w:numPr>
        <w:ilvl w:val="1"/>
      </w:numPr>
      <w:spacing w:before="240" w:after="240" w:line="300" w:lineRule="auto"/>
    </w:pPr>
    <w:rPr>
      <w:rFonts w:ascii="Arial" w:eastAsiaTheme="majorEastAsia" w:hAnsi="Arial"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6579C9"/>
    <w:rPr>
      <w:rFonts w:ascii="Arial" w:eastAsiaTheme="majorEastAsia" w:hAnsi="Arial" w:cstheme="majorBidi"/>
      <w:color w:val="595959" w:themeColor="text1" w:themeTint="A6"/>
      <w:spacing w:val="15"/>
      <w:kern w:val="2"/>
      <w:sz w:val="28"/>
      <w:szCs w:val="28"/>
      <w14:ligatures w14:val="standardContextual"/>
    </w:rPr>
  </w:style>
  <w:style w:type="paragraph" w:styleId="Quote">
    <w:name w:val="Quote"/>
    <w:basedOn w:val="Normal"/>
    <w:next w:val="Normal"/>
    <w:link w:val="QuoteChar"/>
    <w:uiPriority w:val="29"/>
    <w:qFormat/>
    <w:rsid w:val="006579C9"/>
    <w:pPr>
      <w:spacing w:before="160" w:after="240" w:line="300" w:lineRule="auto"/>
      <w:jc w:val="center"/>
    </w:pPr>
    <w:rPr>
      <w:rFonts w:ascii="Arial" w:hAnsi="Arial" w:cs="Arial"/>
      <w:i/>
      <w:iCs/>
      <w:color w:val="404040" w:themeColor="text1" w:themeTint="BF"/>
      <w:kern w:val="2"/>
      <w:sz w:val="28"/>
      <w:szCs w:val="28"/>
      <w14:ligatures w14:val="standardContextual"/>
    </w:rPr>
  </w:style>
  <w:style w:type="character" w:customStyle="1" w:styleId="QuoteChar">
    <w:name w:val="Quote Char"/>
    <w:basedOn w:val="DefaultParagraphFont"/>
    <w:link w:val="Quote"/>
    <w:uiPriority w:val="29"/>
    <w:rsid w:val="006579C9"/>
    <w:rPr>
      <w:rFonts w:ascii="Arial" w:hAnsi="Arial" w:cs="Arial"/>
      <w:i/>
      <w:iCs/>
      <w:color w:val="404040" w:themeColor="text1" w:themeTint="BF"/>
      <w:kern w:val="2"/>
      <w:sz w:val="28"/>
      <w:szCs w:val="28"/>
      <w14:ligatures w14:val="standardContextual"/>
    </w:rPr>
  </w:style>
  <w:style w:type="character" w:styleId="IntenseEmphasis">
    <w:name w:val="Intense Emphasis"/>
    <w:basedOn w:val="DefaultParagraphFont"/>
    <w:uiPriority w:val="21"/>
    <w:qFormat/>
    <w:rsid w:val="006579C9"/>
    <w:rPr>
      <w:i/>
      <w:iCs/>
      <w:color w:val="2F5496" w:themeColor="accent1" w:themeShade="BF"/>
    </w:rPr>
  </w:style>
  <w:style w:type="paragraph" w:styleId="IntenseQuote">
    <w:name w:val="Intense Quote"/>
    <w:basedOn w:val="Normal"/>
    <w:next w:val="Normal"/>
    <w:link w:val="IntenseQuoteChar"/>
    <w:uiPriority w:val="30"/>
    <w:qFormat/>
    <w:rsid w:val="006579C9"/>
    <w:pPr>
      <w:pBdr>
        <w:top w:val="single" w:sz="4" w:space="10" w:color="2F5496" w:themeColor="accent1" w:themeShade="BF"/>
        <w:bottom w:val="single" w:sz="4" w:space="10" w:color="2F5496" w:themeColor="accent1" w:themeShade="BF"/>
      </w:pBdr>
      <w:spacing w:before="360" w:after="360" w:line="300" w:lineRule="auto"/>
      <w:ind w:left="864" w:right="864"/>
      <w:jc w:val="center"/>
    </w:pPr>
    <w:rPr>
      <w:rFonts w:ascii="Arial" w:hAnsi="Arial" w:cs="Arial"/>
      <w:i/>
      <w:iCs/>
      <w:color w:val="2F5496" w:themeColor="accent1" w:themeShade="BF"/>
      <w:kern w:val="2"/>
      <w:sz w:val="28"/>
      <w:szCs w:val="28"/>
      <w14:ligatures w14:val="standardContextual"/>
    </w:rPr>
  </w:style>
  <w:style w:type="character" w:customStyle="1" w:styleId="IntenseQuoteChar">
    <w:name w:val="Intense Quote Char"/>
    <w:basedOn w:val="DefaultParagraphFont"/>
    <w:link w:val="IntenseQuote"/>
    <w:uiPriority w:val="30"/>
    <w:rsid w:val="006579C9"/>
    <w:rPr>
      <w:rFonts w:ascii="Arial" w:hAnsi="Arial" w:cs="Arial"/>
      <w:i/>
      <w:iCs/>
      <w:color w:val="2F5496" w:themeColor="accent1" w:themeShade="BF"/>
      <w:kern w:val="2"/>
      <w:sz w:val="28"/>
      <w:szCs w:val="28"/>
      <w14:ligatures w14:val="standardContextual"/>
    </w:rPr>
  </w:style>
  <w:style w:type="character" w:styleId="IntenseReference">
    <w:name w:val="Intense Reference"/>
    <w:basedOn w:val="DefaultParagraphFont"/>
    <w:uiPriority w:val="32"/>
    <w:qFormat/>
    <w:rsid w:val="006579C9"/>
    <w:rPr>
      <w:b/>
      <w:bCs/>
      <w:smallCaps/>
      <w:color w:val="2F5496" w:themeColor="accent1" w:themeShade="BF"/>
      <w:spacing w:val="5"/>
    </w:rPr>
  </w:style>
  <w:style w:type="table" w:styleId="PlainTable5">
    <w:name w:val="Plain Table 5"/>
    <w:basedOn w:val="TableNormal"/>
    <w:uiPriority w:val="45"/>
    <w:rsid w:val="006579C9"/>
    <w:rPr>
      <w:kern w:val="2"/>
      <w14:ligatures w14:val="standardContextual"/>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PlainTable3">
    <w:name w:val="Plain Table 3"/>
    <w:basedOn w:val="TableNormal"/>
    <w:uiPriority w:val="43"/>
    <w:rsid w:val="006579C9"/>
    <w:rPr>
      <w:kern w:val="2"/>
      <w14:ligatures w14:val="standardContextual"/>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eGridLight">
    <w:name w:val="Grid Table Light"/>
    <w:basedOn w:val="TableNormal"/>
    <w:uiPriority w:val="40"/>
    <w:rsid w:val="006579C9"/>
    <w:rPr>
      <w:kern w:val="2"/>
      <w14:ligatures w14:val="standardContextual"/>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2">
    <w:name w:val="Plain Table 2"/>
    <w:basedOn w:val="TableNormal"/>
    <w:uiPriority w:val="42"/>
    <w:rsid w:val="006579C9"/>
    <w:rPr>
      <w:kern w:val="2"/>
      <w14:ligatures w14:val="standardContextual"/>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4">
    <w:name w:val="Plain Table 4"/>
    <w:basedOn w:val="TableNormal"/>
    <w:uiPriority w:val="44"/>
    <w:rsid w:val="006579C9"/>
    <w:rPr>
      <w:kern w:val="2"/>
      <w14:ligatures w14:val="standardContextual"/>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TOCHeading">
    <w:name w:val="TOC Heading"/>
    <w:basedOn w:val="Heading1"/>
    <w:next w:val="Normal"/>
    <w:uiPriority w:val="39"/>
    <w:unhideWhenUsed/>
    <w:qFormat/>
    <w:rsid w:val="0063418B"/>
    <w:pPr>
      <w:keepNext/>
      <w:keepLines/>
      <w:tabs>
        <w:tab w:val="clear" w:pos="-270"/>
      </w:tabs>
      <w:spacing w:before="240" w:after="0" w:line="259" w:lineRule="auto"/>
      <w:ind w:left="0"/>
      <w:outlineLvl w:val="9"/>
    </w:pPr>
    <w:rPr>
      <w:rFonts w:asciiTheme="majorHAnsi" w:eastAsiaTheme="majorEastAsia" w:hAnsiTheme="majorHAnsi" w:cstheme="majorBidi"/>
      <w:color w:val="2F5496" w:themeColor="accent1" w:themeShade="BF"/>
      <w:sz w:val="32"/>
      <w:szCs w:val="32"/>
    </w:rPr>
  </w:style>
  <w:style w:type="paragraph" w:styleId="TOC1">
    <w:name w:val="toc 1"/>
    <w:basedOn w:val="Normal"/>
    <w:next w:val="Normal"/>
    <w:autoRedefine/>
    <w:uiPriority w:val="39"/>
    <w:unhideWhenUsed/>
    <w:rsid w:val="0063418B"/>
    <w:pPr>
      <w:spacing w:after="100"/>
    </w:pPr>
  </w:style>
  <w:style w:type="paragraph" w:styleId="TOC2">
    <w:name w:val="toc 2"/>
    <w:basedOn w:val="Normal"/>
    <w:next w:val="Normal"/>
    <w:autoRedefine/>
    <w:uiPriority w:val="39"/>
    <w:unhideWhenUsed/>
    <w:rsid w:val="0063418B"/>
    <w:pPr>
      <w:spacing w:after="100"/>
      <w:ind w:left="240"/>
    </w:pPr>
  </w:style>
  <w:style w:type="paragraph" w:styleId="TOC3">
    <w:name w:val="toc 3"/>
    <w:basedOn w:val="Normal"/>
    <w:next w:val="Normal"/>
    <w:autoRedefine/>
    <w:uiPriority w:val="39"/>
    <w:unhideWhenUsed/>
    <w:rsid w:val="0063418B"/>
    <w:pPr>
      <w:spacing w:after="100"/>
      <w:ind w:left="480"/>
    </w:pPr>
  </w:style>
  <w:style w:type="table" w:styleId="GridTable1Light">
    <w:name w:val="Grid Table 1 Light"/>
    <w:basedOn w:val="TableNormal"/>
    <w:uiPriority w:val="46"/>
    <w:rsid w:val="00305AB6"/>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Caption">
    <w:name w:val="caption"/>
    <w:basedOn w:val="Normal"/>
    <w:next w:val="Normal"/>
    <w:uiPriority w:val="35"/>
    <w:unhideWhenUsed/>
    <w:qFormat/>
    <w:rsid w:val="00BC45B3"/>
    <w:pPr>
      <w:spacing w:after="200"/>
    </w:pPr>
    <w:rPr>
      <w:i/>
      <w:iCs/>
      <w:color w:val="44546A" w:themeColor="text2"/>
      <w:sz w:val="18"/>
      <w:szCs w:val="18"/>
    </w:rPr>
  </w:style>
  <w:style w:type="table" w:customStyle="1" w:styleId="TableGrid1">
    <w:name w:val="Table Grid1"/>
    <w:basedOn w:val="TableNormal"/>
    <w:next w:val="TableGrid"/>
    <w:uiPriority w:val="59"/>
    <w:rsid w:val="00A62215"/>
    <w:rPr>
      <w:rFonts w:eastAsia="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D202FE"/>
    <w:rPr>
      <w:rFonts w:eastAsia="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BookTitle">
    <w:name w:val="Book Title"/>
    <w:basedOn w:val="DefaultParagraphFont"/>
    <w:uiPriority w:val="33"/>
    <w:rsid w:val="001E7E53"/>
    <w:rPr>
      <w:b/>
      <w:bCs/>
      <w:i/>
      <w:iCs/>
      <w:spacing w:val="5"/>
    </w:rPr>
  </w:style>
  <w:style w:type="paragraph" w:styleId="NoSpacing">
    <w:name w:val="No Spacing"/>
    <w:uiPriority w:val="1"/>
    <w:rsid w:val="001E7E53"/>
  </w:style>
  <w:style w:type="character" w:styleId="SubtleEmphasis">
    <w:name w:val="Subtle Emphasis"/>
    <w:basedOn w:val="DefaultParagraphFont"/>
    <w:uiPriority w:val="19"/>
    <w:rsid w:val="001E7E53"/>
    <w:rPr>
      <w:i/>
      <w:iCs/>
      <w:color w:val="404040" w:themeColor="text1" w:themeTint="BF"/>
    </w:rPr>
  </w:style>
  <w:style w:type="character" w:styleId="SubtleReference">
    <w:name w:val="Subtle Reference"/>
    <w:basedOn w:val="DefaultParagraphFont"/>
    <w:uiPriority w:val="31"/>
    <w:rsid w:val="001E7E53"/>
    <w:rPr>
      <w:smallCaps/>
      <w:color w:val="5A5A5A" w:themeColor="text1" w:themeTint="A5"/>
    </w:rPr>
  </w:style>
  <w:style w:type="numbering" w:styleId="111111">
    <w:name w:val="Outline List 2"/>
    <w:basedOn w:val="NoList"/>
    <w:uiPriority w:val="99"/>
    <w:semiHidden/>
    <w:unhideWhenUsed/>
    <w:rsid w:val="00D05596"/>
    <w:pPr>
      <w:numPr>
        <w:numId w:val="35"/>
      </w:numPr>
    </w:pPr>
  </w:style>
  <w:style w:type="numbering" w:styleId="1ai">
    <w:name w:val="Outline List 1"/>
    <w:basedOn w:val="NoList"/>
    <w:uiPriority w:val="99"/>
    <w:semiHidden/>
    <w:unhideWhenUsed/>
    <w:rsid w:val="00D05596"/>
    <w:pPr>
      <w:numPr>
        <w:numId w:val="36"/>
      </w:numPr>
    </w:pPr>
  </w:style>
  <w:style w:type="numbering" w:styleId="ArticleSection">
    <w:name w:val="Outline List 3"/>
    <w:basedOn w:val="NoList"/>
    <w:uiPriority w:val="99"/>
    <w:semiHidden/>
    <w:unhideWhenUsed/>
    <w:rsid w:val="00D05596"/>
    <w:pPr>
      <w:numPr>
        <w:numId w:val="37"/>
      </w:numPr>
    </w:pPr>
  </w:style>
  <w:style w:type="paragraph" w:styleId="BalloonText">
    <w:name w:val="Balloon Text"/>
    <w:basedOn w:val="Normal"/>
    <w:link w:val="BalloonTextChar"/>
    <w:uiPriority w:val="99"/>
    <w:semiHidden/>
    <w:unhideWhenUsed/>
    <w:rsid w:val="00D0559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5596"/>
    <w:rPr>
      <w:rFonts w:ascii="Segoe UI" w:hAnsi="Segoe UI" w:cs="Segoe UI"/>
      <w:sz w:val="18"/>
      <w:szCs w:val="18"/>
    </w:rPr>
  </w:style>
  <w:style w:type="paragraph" w:styleId="Bibliography">
    <w:name w:val="Bibliography"/>
    <w:basedOn w:val="Normal"/>
    <w:next w:val="Normal"/>
    <w:uiPriority w:val="37"/>
    <w:semiHidden/>
    <w:unhideWhenUsed/>
    <w:rsid w:val="00D05596"/>
  </w:style>
  <w:style w:type="paragraph" w:styleId="BlockText">
    <w:name w:val="Block Text"/>
    <w:basedOn w:val="Normal"/>
    <w:uiPriority w:val="99"/>
    <w:semiHidden/>
    <w:unhideWhenUsed/>
    <w:rsid w:val="00D05596"/>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eastAsiaTheme="minorEastAsia"/>
      <w:i/>
      <w:iCs/>
      <w:color w:val="4472C4" w:themeColor="accent1"/>
    </w:rPr>
  </w:style>
  <w:style w:type="paragraph" w:styleId="BodyText">
    <w:name w:val="Body Text"/>
    <w:basedOn w:val="Normal"/>
    <w:link w:val="BodyTextChar"/>
    <w:uiPriority w:val="99"/>
    <w:semiHidden/>
    <w:unhideWhenUsed/>
    <w:rsid w:val="00D05596"/>
    <w:pPr>
      <w:spacing w:after="120"/>
    </w:pPr>
  </w:style>
  <w:style w:type="character" w:customStyle="1" w:styleId="BodyTextChar">
    <w:name w:val="Body Text Char"/>
    <w:basedOn w:val="DefaultParagraphFont"/>
    <w:link w:val="BodyText"/>
    <w:uiPriority w:val="99"/>
    <w:semiHidden/>
    <w:rsid w:val="00D05596"/>
  </w:style>
  <w:style w:type="paragraph" w:styleId="BodyText2">
    <w:name w:val="Body Text 2"/>
    <w:basedOn w:val="Normal"/>
    <w:link w:val="BodyText2Char"/>
    <w:uiPriority w:val="99"/>
    <w:semiHidden/>
    <w:unhideWhenUsed/>
    <w:rsid w:val="00D05596"/>
    <w:pPr>
      <w:spacing w:after="120" w:line="480" w:lineRule="auto"/>
    </w:pPr>
  </w:style>
  <w:style w:type="character" w:customStyle="1" w:styleId="BodyText2Char">
    <w:name w:val="Body Text 2 Char"/>
    <w:basedOn w:val="DefaultParagraphFont"/>
    <w:link w:val="BodyText2"/>
    <w:uiPriority w:val="99"/>
    <w:semiHidden/>
    <w:rsid w:val="00D05596"/>
  </w:style>
  <w:style w:type="paragraph" w:styleId="BodyText3">
    <w:name w:val="Body Text 3"/>
    <w:basedOn w:val="Normal"/>
    <w:link w:val="BodyText3Char"/>
    <w:uiPriority w:val="99"/>
    <w:semiHidden/>
    <w:unhideWhenUsed/>
    <w:rsid w:val="00D05596"/>
    <w:pPr>
      <w:spacing w:after="120"/>
    </w:pPr>
    <w:rPr>
      <w:sz w:val="16"/>
      <w:szCs w:val="16"/>
    </w:rPr>
  </w:style>
  <w:style w:type="character" w:customStyle="1" w:styleId="BodyText3Char">
    <w:name w:val="Body Text 3 Char"/>
    <w:basedOn w:val="DefaultParagraphFont"/>
    <w:link w:val="BodyText3"/>
    <w:uiPriority w:val="99"/>
    <w:semiHidden/>
    <w:rsid w:val="00D05596"/>
    <w:rPr>
      <w:sz w:val="16"/>
      <w:szCs w:val="16"/>
    </w:rPr>
  </w:style>
  <w:style w:type="paragraph" w:styleId="BodyTextFirstIndent">
    <w:name w:val="Body Text First Indent"/>
    <w:basedOn w:val="BodyText"/>
    <w:link w:val="BodyTextFirstIndentChar"/>
    <w:uiPriority w:val="99"/>
    <w:semiHidden/>
    <w:unhideWhenUsed/>
    <w:rsid w:val="00D05596"/>
    <w:pPr>
      <w:spacing w:after="0"/>
      <w:ind w:firstLine="360"/>
    </w:pPr>
  </w:style>
  <w:style w:type="character" w:customStyle="1" w:styleId="BodyTextFirstIndentChar">
    <w:name w:val="Body Text First Indent Char"/>
    <w:basedOn w:val="BodyTextChar"/>
    <w:link w:val="BodyTextFirstIndent"/>
    <w:uiPriority w:val="99"/>
    <w:semiHidden/>
    <w:rsid w:val="00D05596"/>
  </w:style>
  <w:style w:type="paragraph" w:styleId="BodyTextIndent">
    <w:name w:val="Body Text Indent"/>
    <w:basedOn w:val="Normal"/>
    <w:link w:val="BodyTextIndentChar"/>
    <w:uiPriority w:val="99"/>
    <w:semiHidden/>
    <w:unhideWhenUsed/>
    <w:rsid w:val="00D05596"/>
    <w:pPr>
      <w:spacing w:after="120"/>
      <w:ind w:left="360"/>
    </w:pPr>
  </w:style>
  <w:style w:type="character" w:customStyle="1" w:styleId="BodyTextIndentChar">
    <w:name w:val="Body Text Indent Char"/>
    <w:basedOn w:val="DefaultParagraphFont"/>
    <w:link w:val="BodyTextIndent"/>
    <w:uiPriority w:val="99"/>
    <w:semiHidden/>
    <w:rsid w:val="00D05596"/>
  </w:style>
  <w:style w:type="paragraph" w:styleId="BodyTextFirstIndent2">
    <w:name w:val="Body Text First Indent 2"/>
    <w:basedOn w:val="BodyTextIndent"/>
    <w:link w:val="BodyTextFirstIndent2Char"/>
    <w:uiPriority w:val="99"/>
    <w:semiHidden/>
    <w:unhideWhenUsed/>
    <w:rsid w:val="00D05596"/>
    <w:pPr>
      <w:spacing w:after="0"/>
      <w:ind w:firstLine="360"/>
    </w:pPr>
  </w:style>
  <w:style w:type="character" w:customStyle="1" w:styleId="BodyTextFirstIndent2Char">
    <w:name w:val="Body Text First Indent 2 Char"/>
    <w:basedOn w:val="BodyTextIndentChar"/>
    <w:link w:val="BodyTextFirstIndent2"/>
    <w:uiPriority w:val="99"/>
    <w:semiHidden/>
    <w:rsid w:val="00D05596"/>
  </w:style>
  <w:style w:type="paragraph" w:styleId="BodyTextIndent2">
    <w:name w:val="Body Text Indent 2"/>
    <w:basedOn w:val="Normal"/>
    <w:link w:val="BodyTextIndent2Char"/>
    <w:uiPriority w:val="99"/>
    <w:semiHidden/>
    <w:unhideWhenUsed/>
    <w:rsid w:val="00D05596"/>
    <w:pPr>
      <w:spacing w:after="120" w:line="480" w:lineRule="auto"/>
      <w:ind w:left="360"/>
    </w:pPr>
  </w:style>
  <w:style w:type="character" w:customStyle="1" w:styleId="BodyTextIndent2Char">
    <w:name w:val="Body Text Indent 2 Char"/>
    <w:basedOn w:val="DefaultParagraphFont"/>
    <w:link w:val="BodyTextIndent2"/>
    <w:uiPriority w:val="99"/>
    <w:semiHidden/>
    <w:rsid w:val="00D05596"/>
  </w:style>
  <w:style w:type="paragraph" w:styleId="BodyTextIndent3">
    <w:name w:val="Body Text Indent 3"/>
    <w:basedOn w:val="Normal"/>
    <w:link w:val="BodyTextIndent3Char"/>
    <w:uiPriority w:val="99"/>
    <w:semiHidden/>
    <w:unhideWhenUsed/>
    <w:rsid w:val="00D05596"/>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D05596"/>
    <w:rPr>
      <w:sz w:val="16"/>
      <w:szCs w:val="16"/>
    </w:rPr>
  </w:style>
  <w:style w:type="paragraph" w:styleId="Closing">
    <w:name w:val="Closing"/>
    <w:basedOn w:val="Normal"/>
    <w:link w:val="ClosingChar"/>
    <w:uiPriority w:val="99"/>
    <w:semiHidden/>
    <w:unhideWhenUsed/>
    <w:rsid w:val="00D05596"/>
    <w:pPr>
      <w:ind w:left="4320"/>
    </w:pPr>
  </w:style>
  <w:style w:type="character" w:customStyle="1" w:styleId="ClosingChar">
    <w:name w:val="Closing Char"/>
    <w:basedOn w:val="DefaultParagraphFont"/>
    <w:link w:val="Closing"/>
    <w:uiPriority w:val="99"/>
    <w:semiHidden/>
    <w:rsid w:val="00D05596"/>
  </w:style>
  <w:style w:type="table" w:styleId="ColorfulGrid">
    <w:name w:val="Colorful Grid"/>
    <w:basedOn w:val="TableNormal"/>
    <w:uiPriority w:val="73"/>
    <w:semiHidden/>
    <w:unhideWhenUsed/>
    <w:rsid w:val="00D05596"/>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D05596"/>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D05596"/>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D05596"/>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D05596"/>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D05596"/>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D05596"/>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D05596"/>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D05596"/>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D05596"/>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D05596"/>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D05596"/>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D05596"/>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D05596"/>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D05596"/>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D05596"/>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D05596"/>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D05596"/>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D05596"/>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D05596"/>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D05596"/>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D05596"/>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D05596"/>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D05596"/>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D05596"/>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D05596"/>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D05596"/>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D05596"/>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D05596"/>
  </w:style>
  <w:style w:type="character" w:customStyle="1" w:styleId="DateChar">
    <w:name w:val="Date Char"/>
    <w:basedOn w:val="DefaultParagraphFont"/>
    <w:link w:val="Date"/>
    <w:uiPriority w:val="99"/>
    <w:semiHidden/>
    <w:rsid w:val="00D05596"/>
  </w:style>
  <w:style w:type="paragraph" w:styleId="DocumentMap">
    <w:name w:val="Document Map"/>
    <w:basedOn w:val="Normal"/>
    <w:link w:val="DocumentMapChar"/>
    <w:uiPriority w:val="99"/>
    <w:semiHidden/>
    <w:unhideWhenUsed/>
    <w:rsid w:val="00D05596"/>
    <w:rPr>
      <w:rFonts w:ascii="Segoe UI" w:hAnsi="Segoe UI" w:cs="Segoe UI"/>
      <w:sz w:val="16"/>
      <w:szCs w:val="16"/>
    </w:rPr>
  </w:style>
  <w:style w:type="character" w:customStyle="1" w:styleId="DocumentMapChar">
    <w:name w:val="Document Map Char"/>
    <w:basedOn w:val="DefaultParagraphFont"/>
    <w:link w:val="DocumentMap"/>
    <w:uiPriority w:val="99"/>
    <w:semiHidden/>
    <w:rsid w:val="00D05596"/>
    <w:rPr>
      <w:rFonts w:ascii="Segoe UI" w:hAnsi="Segoe UI" w:cs="Segoe UI"/>
      <w:sz w:val="16"/>
      <w:szCs w:val="16"/>
    </w:rPr>
  </w:style>
  <w:style w:type="paragraph" w:styleId="E-mailSignature">
    <w:name w:val="E-mail Signature"/>
    <w:basedOn w:val="Normal"/>
    <w:link w:val="E-mailSignatureChar"/>
    <w:uiPriority w:val="99"/>
    <w:semiHidden/>
    <w:unhideWhenUsed/>
    <w:rsid w:val="00D05596"/>
  </w:style>
  <w:style w:type="character" w:customStyle="1" w:styleId="E-mailSignatureChar">
    <w:name w:val="E-mail Signature Char"/>
    <w:basedOn w:val="DefaultParagraphFont"/>
    <w:link w:val="E-mailSignature"/>
    <w:uiPriority w:val="99"/>
    <w:semiHidden/>
    <w:rsid w:val="00D05596"/>
  </w:style>
  <w:style w:type="character" w:styleId="EndnoteReference">
    <w:name w:val="endnote reference"/>
    <w:basedOn w:val="DefaultParagraphFont"/>
    <w:uiPriority w:val="99"/>
    <w:semiHidden/>
    <w:unhideWhenUsed/>
    <w:rsid w:val="00D05596"/>
    <w:rPr>
      <w:vertAlign w:val="superscript"/>
    </w:rPr>
  </w:style>
  <w:style w:type="paragraph" w:styleId="EndnoteText">
    <w:name w:val="endnote text"/>
    <w:basedOn w:val="Normal"/>
    <w:link w:val="EndnoteTextChar"/>
    <w:uiPriority w:val="99"/>
    <w:semiHidden/>
    <w:unhideWhenUsed/>
    <w:rsid w:val="00D05596"/>
    <w:rPr>
      <w:sz w:val="20"/>
      <w:szCs w:val="20"/>
    </w:rPr>
  </w:style>
  <w:style w:type="character" w:customStyle="1" w:styleId="EndnoteTextChar">
    <w:name w:val="Endnote Text Char"/>
    <w:basedOn w:val="DefaultParagraphFont"/>
    <w:link w:val="EndnoteText"/>
    <w:uiPriority w:val="99"/>
    <w:semiHidden/>
    <w:rsid w:val="00D05596"/>
    <w:rPr>
      <w:sz w:val="20"/>
      <w:szCs w:val="20"/>
    </w:rPr>
  </w:style>
  <w:style w:type="paragraph" w:styleId="EnvelopeAddress">
    <w:name w:val="envelope address"/>
    <w:basedOn w:val="Normal"/>
    <w:uiPriority w:val="99"/>
    <w:semiHidden/>
    <w:unhideWhenUsed/>
    <w:rsid w:val="00D05596"/>
    <w:pPr>
      <w:framePr w:w="7920" w:h="1980" w:hRule="exact" w:hSpace="180" w:wrap="auto" w:hAnchor="page" w:xAlign="center" w:yAlign="bottom"/>
      <w:ind w:left="2880"/>
    </w:pPr>
    <w:rPr>
      <w:rFonts w:asciiTheme="majorHAnsi" w:eastAsiaTheme="majorEastAsia" w:hAnsiTheme="majorHAnsi" w:cstheme="majorBidi"/>
    </w:rPr>
  </w:style>
  <w:style w:type="paragraph" w:styleId="EnvelopeReturn">
    <w:name w:val="envelope return"/>
    <w:basedOn w:val="Normal"/>
    <w:uiPriority w:val="99"/>
    <w:semiHidden/>
    <w:unhideWhenUsed/>
    <w:rsid w:val="00D05596"/>
    <w:rPr>
      <w:rFonts w:asciiTheme="majorHAnsi" w:eastAsiaTheme="majorEastAsia" w:hAnsiTheme="majorHAnsi" w:cstheme="majorBidi"/>
      <w:sz w:val="20"/>
      <w:szCs w:val="20"/>
    </w:rPr>
  </w:style>
  <w:style w:type="character" w:styleId="FootnoteReference">
    <w:name w:val="footnote reference"/>
    <w:basedOn w:val="DefaultParagraphFont"/>
    <w:uiPriority w:val="99"/>
    <w:semiHidden/>
    <w:unhideWhenUsed/>
    <w:rsid w:val="00D05596"/>
    <w:rPr>
      <w:vertAlign w:val="superscript"/>
    </w:rPr>
  </w:style>
  <w:style w:type="paragraph" w:styleId="FootnoteText">
    <w:name w:val="footnote text"/>
    <w:basedOn w:val="Normal"/>
    <w:link w:val="FootnoteTextChar"/>
    <w:uiPriority w:val="99"/>
    <w:semiHidden/>
    <w:unhideWhenUsed/>
    <w:rsid w:val="00D05596"/>
    <w:rPr>
      <w:sz w:val="20"/>
      <w:szCs w:val="20"/>
    </w:rPr>
  </w:style>
  <w:style w:type="character" w:customStyle="1" w:styleId="FootnoteTextChar">
    <w:name w:val="Footnote Text Char"/>
    <w:basedOn w:val="DefaultParagraphFont"/>
    <w:link w:val="FootnoteText"/>
    <w:uiPriority w:val="99"/>
    <w:semiHidden/>
    <w:rsid w:val="00D05596"/>
    <w:rPr>
      <w:sz w:val="20"/>
      <w:szCs w:val="20"/>
    </w:rPr>
  </w:style>
  <w:style w:type="table" w:styleId="GridTable1Light-Accent1">
    <w:name w:val="Grid Table 1 Light Accent 1"/>
    <w:basedOn w:val="TableNormal"/>
    <w:uiPriority w:val="46"/>
    <w:rsid w:val="00D05596"/>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D05596"/>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D05596"/>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D05596"/>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D05596"/>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D05596"/>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D05596"/>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D05596"/>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D05596"/>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D05596"/>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D05596"/>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D05596"/>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D05596"/>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D05596"/>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D05596"/>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D05596"/>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D05596"/>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D05596"/>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D05596"/>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D05596"/>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D05596"/>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D05596"/>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D05596"/>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D05596"/>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D05596"/>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D05596"/>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D05596"/>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D0559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D0559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D0559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D0559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D0559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D0559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D0559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D05596"/>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D05596"/>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D05596"/>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D05596"/>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D05596"/>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D05596"/>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D05596"/>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D05596"/>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D05596"/>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D05596"/>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D05596"/>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D05596"/>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D05596"/>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D05596"/>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rsid w:val="00D05596"/>
    <w:rPr>
      <w:color w:val="2B579A"/>
      <w:shd w:val="clear" w:color="auto" w:fill="E1DFDD"/>
    </w:rPr>
  </w:style>
  <w:style w:type="character" w:styleId="HTMLAcronym">
    <w:name w:val="HTML Acronym"/>
    <w:basedOn w:val="DefaultParagraphFont"/>
    <w:uiPriority w:val="99"/>
    <w:semiHidden/>
    <w:unhideWhenUsed/>
    <w:rsid w:val="00D05596"/>
  </w:style>
  <w:style w:type="paragraph" w:styleId="HTMLAddress">
    <w:name w:val="HTML Address"/>
    <w:basedOn w:val="Normal"/>
    <w:link w:val="HTMLAddressChar"/>
    <w:uiPriority w:val="99"/>
    <w:semiHidden/>
    <w:unhideWhenUsed/>
    <w:rsid w:val="00D05596"/>
    <w:rPr>
      <w:i/>
      <w:iCs/>
    </w:rPr>
  </w:style>
  <w:style w:type="character" w:customStyle="1" w:styleId="HTMLAddressChar">
    <w:name w:val="HTML Address Char"/>
    <w:basedOn w:val="DefaultParagraphFont"/>
    <w:link w:val="HTMLAddress"/>
    <w:uiPriority w:val="99"/>
    <w:semiHidden/>
    <w:rsid w:val="00D05596"/>
    <w:rPr>
      <w:i/>
      <w:iCs/>
    </w:rPr>
  </w:style>
  <w:style w:type="character" w:styleId="HTMLCite">
    <w:name w:val="HTML Cite"/>
    <w:basedOn w:val="DefaultParagraphFont"/>
    <w:uiPriority w:val="99"/>
    <w:semiHidden/>
    <w:unhideWhenUsed/>
    <w:rsid w:val="00D05596"/>
    <w:rPr>
      <w:i/>
      <w:iCs/>
    </w:rPr>
  </w:style>
  <w:style w:type="character" w:styleId="HTMLCode">
    <w:name w:val="HTML Code"/>
    <w:basedOn w:val="DefaultParagraphFont"/>
    <w:uiPriority w:val="99"/>
    <w:semiHidden/>
    <w:unhideWhenUsed/>
    <w:rsid w:val="00D05596"/>
    <w:rPr>
      <w:rFonts w:ascii="Consolas" w:hAnsi="Consolas"/>
      <w:sz w:val="20"/>
      <w:szCs w:val="20"/>
    </w:rPr>
  </w:style>
  <w:style w:type="character" w:styleId="HTMLDefinition">
    <w:name w:val="HTML Definition"/>
    <w:basedOn w:val="DefaultParagraphFont"/>
    <w:uiPriority w:val="99"/>
    <w:semiHidden/>
    <w:unhideWhenUsed/>
    <w:rsid w:val="00D05596"/>
    <w:rPr>
      <w:i/>
      <w:iCs/>
    </w:rPr>
  </w:style>
  <w:style w:type="character" w:styleId="HTMLKeyboard">
    <w:name w:val="HTML Keyboard"/>
    <w:basedOn w:val="DefaultParagraphFont"/>
    <w:uiPriority w:val="99"/>
    <w:semiHidden/>
    <w:unhideWhenUsed/>
    <w:rsid w:val="00D05596"/>
    <w:rPr>
      <w:rFonts w:ascii="Consolas" w:hAnsi="Consolas"/>
      <w:sz w:val="20"/>
      <w:szCs w:val="20"/>
    </w:rPr>
  </w:style>
  <w:style w:type="paragraph" w:styleId="HTMLPreformatted">
    <w:name w:val="HTML Preformatted"/>
    <w:basedOn w:val="Normal"/>
    <w:link w:val="HTMLPreformattedChar"/>
    <w:uiPriority w:val="99"/>
    <w:semiHidden/>
    <w:unhideWhenUsed/>
    <w:rsid w:val="00D05596"/>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D05596"/>
    <w:rPr>
      <w:rFonts w:ascii="Consolas" w:hAnsi="Consolas"/>
      <w:sz w:val="20"/>
      <w:szCs w:val="20"/>
    </w:rPr>
  </w:style>
  <w:style w:type="character" w:styleId="HTMLSample">
    <w:name w:val="HTML Sample"/>
    <w:basedOn w:val="DefaultParagraphFont"/>
    <w:uiPriority w:val="99"/>
    <w:semiHidden/>
    <w:unhideWhenUsed/>
    <w:rsid w:val="00D05596"/>
    <w:rPr>
      <w:rFonts w:ascii="Consolas" w:hAnsi="Consolas"/>
      <w:sz w:val="24"/>
      <w:szCs w:val="24"/>
    </w:rPr>
  </w:style>
  <w:style w:type="character" w:styleId="HTMLTypewriter">
    <w:name w:val="HTML Typewriter"/>
    <w:basedOn w:val="DefaultParagraphFont"/>
    <w:uiPriority w:val="99"/>
    <w:semiHidden/>
    <w:unhideWhenUsed/>
    <w:rsid w:val="00D05596"/>
    <w:rPr>
      <w:rFonts w:ascii="Consolas" w:hAnsi="Consolas"/>
      <w:sz w:val="20"/>
      <w:szCs w:val="20"/>
    </w:rPr>
  </w:style>
  <w:style w:type="character" w:styleId="HTMLVariable">
    <w:name w:val="HTML Variable"/>
    <w:basedOn w:val="DefaultParagraphFont"/>
    <w:uiPriority w:val="99"/>
    <w:semiHidden/>
    <w:unhideWhenUsed/>
    <w:rsid w:val="00D05596"/>
    <w:rPr>
      <w:i/>
      <w:iCs/>
    </w:rPr>
  </w:style>
  <w:style w:type="paragraph" w:styleId="Index1">
    <w:name w:val="index 1"/>
    <w:basedOn w:val="Normal"/>
    <w:next w:val="Normal"/>
    <w:autoRedefine/>
    <w:uiPriority w:val="99"/>
    <w:semiHidden/>
    <w:unhideWhenUsed/>
    <w:rsid w:val="00D05596"/>
    <w:pPr>
      <w:ind w:left="240" w:hanging="240"/>
    </w:pPr>
  </w:style>
  <w:style w:type="paragraph" w:styleId="Index2">
    <w:name w:val="index 2"/>
    <w:basedOn w:val="Normal"/>
    <w:next w:val="Normal"/>
    <w:autoRedefine/>
    <w:uiPriority w:val="99"/>
    <w:semiHidden/>
    <w:unhideWhenUsed/>
    <w:rsid w:val="00D05596"/>
    <w:pPr>
      <w:ind w:left="480" w:hanging="240"/>
    </w:pPr>
  </w:style>
  <w:style w:type="paragraph" w:styleId="Index3">
    <w:name w:val="index 3"/>
    <w:basedOn w:val="Normal"/>
    <w:next w:val="Normal"/>
    <w:autoRedefine/>
    <w:uiPriority w:val="99"/>
    <w:semiHidden/>
    <w:unhideWhenUsed/>
    <w:rsid w:val="00D05596"/>
    <w:pPr>
      <w:ind w:left="720" w:hanging="240"/>
    </w:pPr>
  </w:style>
  <w:style w:type="paragraph" w:styleId="Index4">
    <w:name w:val="index 4"/>
    <w:basedOn w:val="Normal"/>
    <w:next w:val="Normal"/>
    <w:autoRedefine/>
    <w:uiPriority w:val="99"/>
    <w:semiHidden/>
    <w:unhideWhenUsed/>
    <w:rsid w:val="00D05596"/>
    <w:pPr>
      <w:ind w:left="960" w:hanging="240"/>
    </w:pPr>
  </w:style>
  <w:style w:type="paragraph" w:styleId="Index5">
    <w:name w:val="index 5"/>
    <w:basedOn w:val="Normal"/>
    <w:next w:val="Normal"/>
    <w:autoRedefine/>
    <w:uiPriority w:val="99"/>
    <w:semiHidden/>
    <w:unhideWhenUsed/>
    <w:rsid w:val="00D05596"/>
    <w:pPr>
      <w:ind w:left="1200" w:hanging="240"/>
    </w:pPr>
  </w:style>
  <w:style w:type="paragraph" w:styleId="Index6">
    <w:name w:val="index 6"/>
    <w:basedOn w:val="Normal"/>
    <w:next w:val="Normal"/>
    <w:autoRedefine/>
    <w:uiPriority w:val="99"/>
    <w:semiHidden/>
    <w:unhideWhenUsed/>
    <w:rsid w:val="00D05596"/>
    <w:pPr>
      <w:ind w:left="1440" w:hanging="240"/>
    </w:pPr>
  </w:style>
  <w:style w:type="paragraph" w:styleId="Index7">
    <w:name w:val="index 7"/>
    <w:basedOn w:val="Normal"/>
    <w:next w:val="Normal"/>
    <w:autoRedefine/>
    <w:uiPriority w:val="99"/>
    <w:semiHidden/>
    <w:unhideWhenUsed/>
    <w:rsid w:val="00D05596"/>
    <w:pPr>
      <w:ind w:left="1680" w:hanging="240"/>
    </w:pPr>
  </w:style>
  <w:style w:type="paragraph" w:styleId="Index8">
    <w:name w:val="index 8"/>
    <w:basedOn w:val="Normal"/>
    <w:next w:val="Normal"/>
    <w:autoRedefine/>
    <w:uiPriority w:val="99"/>
    <w:semiHidden/>
    <w:unhideWhenUsed/>
    <w:rsid w:val="00D05596"/>
    <w:pPr>
      <w:ind w:left="1920" w:hanging="240"/>
    </w:pPr>
  </w:style>
  <w:style w:type="paragraph" w:styleId="Index9">
    <w:name w:val="index 9"/>
    <w:basedOn w:val="Normal"/>
    <w:next w:val="Normal"/>
    <w:autoRedefine/>
    <w:uiPriority w:val="99"/>
    <w:semiHidden/>
    <w:unhideWhenUsed/>
    <w:rsid w:val="00D05596"/>
    <w:pPr>
      <w:ind w:left="2160" w:hanging="240"/>
    </w:pPr>
  </w:style>
  <w:style w:type="paragraph" w:styleId="IndexHeading">
    <w:name w:val="index heading"/>
    <w:basedOn w:val="Normal"/>
    <w:next w:val="Index1"/>
    <w:uiPriority w:val="99"/>
    <w:semiHidden/>
    <w:unhideWhenUsed/>
    <w:rsid w:val="00D05596"/>
    <w:rPr>
      <w:rFonts w:asciiTheme="majorHAnsi" w:eastAsiaTheme="majorEastAsia" w:hAnsiTheme="majorHAnsi" w:cstheme="majorBidi"/>
      <w:b/>
      <w:bCs/>
    </w:rPr>
  </w:style>
  <w:style w:type="table" w:styleId="LightGrid">
    <w:name w:val="Light Grid"/>
    <w:basedOn w:val="TableNormal"/>
    <w:uiPriority w:val="62"/>
    <w:semiHidden/>
    <w:unhideWhenUsed/>
    <w:rsid w:val="00D05596"/>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D05596"/>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D05596"/>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D05596"/>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D05596"/>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D05596"/>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D05596"/>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D05596"/>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D05596"/>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D05596"/>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D05596"/>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D05596"/>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D05596"/>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D05596"/>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D05596"/>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D05596"/>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D05596"/>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D05596"/>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D05596"/>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D05596"/>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D05596"/>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D05596"/>
  </w:style>
  <w:style w:type="paragraph" w:styleId="List">
    <w:name w:val="List"/>
    <w:basedOn w:val="Normal"/>
    <w:uiPriority w:val="99"/>
    <w:semiHidden/>
    <w:unhideWhenUsed/>
    <w:rsid w:val="00D05596"/>
    <w:pPr>
      <w:ind w:left="360" w:hanging="360"/>
      <w:contextualSpacing/>
    </w:pPr>
  </w:style>
  <w:style w:type="paragraph" w:styleId="List2">
    <w:name w:val="List 2"/>
    <w:basedOn w:val="Normal"/>
    <w:uiPriority w:val="99"/>
    <w:semiHidden/>
    <w:unhideWhenUsed/>
    <w:rsid w:val="00D05596"/>
    <w:pPr>
      <w:ind w:left="720" w:hanging="360"/>
      <w:contextualSpacing/>
    </w:pPr>
  </w:style>
  <w:style w:type="paragraph" w:styleId="List3">
    <w:name w:val="List 3"/>
    <w:basedOn w:val="Normal"/>
    <w:uiPriority w:val="99"/>
    <w:semiHidden/>
    <w:unhideWhenUsed/>
    <w:rsid w:val="00D05596"/>
    <w:pPr>
      <w:ind w:left="1080" w:hanging="360"/>
      <w:contextualSpacing/>
    </w:pPr>
  </w:style>
  <w:style w:type="paragraph" w:styleId="List4">
    <w:name w:val="List 4"/>
    <w:basedOn w:val="Normal"/>
    <w:uiPriority w:val="99"/>
    <w:semiHidden/>
    <w:unhideWhenUsed/>
    <w:rsid w:val="00D05596"/>
    <w:pPr>
      <w:ind w:left="1440" w:hanging="360"/>
      <w:contextualSpacing/>
    </w:pPr>
  </w:style>
  <w:style w:type="paragraph" w:styleId="List5">
    <w:name w:val="List 5"/>
    <w:basedOn w:val="Normal"/>
    <w:uiPriority w:val="99"/>
    <w:semiHidden/>
    <w:unhideWhenUsed/>
    <w:rsid w:val="00D05596"/>
    <w:pPr>
      <w:ind w:left="1800" w:hanging="360"/>
      <w:contextualSpacing/>
    </w:pPr>
  </w:style>
  <w:style w:type="paragraph" w:styleId="ListBullet2">
    <w:name w:val="List Bullet 2"/>
    <w:basedOn w:val="Normal"/>
    <w:uiPriority w:val="99"/>
    <w:semiHidden/>
    <w:unhideWhenUsed/>
    <w:rsid w:val="00D05596"/>
    <w:pPr>
      <w:numPr>
        <w:numId w:val="38"/>
      </w:numPr>
      <w:contextualSpacing/>
    </w:pPr>
  </w:style>
  <w:style w:type="paragraph" w:styleId="ListBullet3">
    <w:name w:val="List Bullet 3"/>
    <w:basedOn w:val="Normal"/>
    <w:uiPriority w:val="99"/>
    <w:semiHidden/>
    <w:unhideWhenUsed/>
    <w:rsid w:val="00D05596"/>
    <w:pPr>
      <w:numPr>
        <w:numId w:val="39"/>
      </w:numPr>
      <w:contextualSpacing/>
    </w:pPr>
  </w:style>
  <w:style w:type="paragraph" w:styleId="ListBullet4">
    <w:name w:val="List Bullet 4"/>
    <w:basedOn w:val="Normal"/>
    <w:uiPriority w:val="99"/>
    <w:semiHidden/>
    <w:unhideWhenUsed/>
    <w:rsid w:val="00D05596"/>
    <w:pPr>
      <w:numPr>
        <w:numId w:val="40"/>
      </w:numPr>
      <w:contextualSpacing/>
    </w:pPr>
  </w:style>
  <w:style w:type="paragraph" w:styleId="ListBullet5">
    <w:name w:val="List Bullet 5"/>
    <w:basedOn w:val="Normal"/>
    <w:uiPriority w:val="99"/>
    <w:semiHidden/>
    <w:unhideWhenUsed/>
    <w:rsid w:val="00D05596"/>
    <w:pPr>
      <w:numPr>
        <w:numId w:val="41"/>
      </w:numPr>
      <w:contextualSpacing/>
    </w:pPr>
  </w:style>
  <w:style w:type="paragraph" w:styleId="ListContinue">
    <w:name w:val="List Continue"/>
    <w:basedOn w:val="Normal"/>
    <w:uiPriority w:val="99"/>
    <w:semiHidden/>
    <w:unhideWhenUsed/>
    <w:rsid w:val="00D05596"/>
    <w:pPr>
      <w:spacing w:after="120"/>
      <w:ind w:left="360"/>
      <w:contextualSpacing/>
    </w:pPr>
  </w:style>
  <w:style w:type="paragraph" w:styleId="ListContinue2">
    <w:name w:val="List Continue 2"/>
    <w:basedOn w:val="Normal"/>
    <w:uiPriority w:val="99"/>
    <w:semiHidden/>
    <w:unhideWhenUsed/>
    <w:rsid w:val="00D05596"/>
    <w:pPr>
      <w:spacing w:after="120"/>
      <w:ind w:left="720"/>
      <w:contextualSpacing/>
    </w:pPr>
  </w:style>
  <w:style w:type="paragraph" w:styleId="ListContinue3">
    <w:name w:val="List Continue 3"/>
    <w:basedOn w:val="Normal"/>
    <w:uiPriority w:val="99"/>
    <w:semiHidden/>
    <w:unhideWhenUsed/>
    <w:rsid w:val="00D05596"/>
    <w:pPr>
      <w:spacing w:after="120"/>
      <w:ind w:left="1080"/>
      <w:contextualSpacing/>
    </w:pPr>
  </w:style>
  <w:style w:type="paragraph" w:styleId="ListContinue4">
    <w:name w:val="List Continue 4"/>
    <w:basedOn w:val="Normal"/>
    <w:uiPriority w:val="99"/>
    <w:semiHidden/>
    <w:unhideWhenUsed/>
    <w:rsid w:val="00D05596"/>
    <w:pPr>
      <w:spacing w:after="120"/>
      <w:ind w:left="1440"/>
      <w:contextualSpacing/>
    </w:pPr>
  </w:style>
  <w:style w:type="paragraph" w:styleId="ListContinue5">
    <w:name w:val="List Continue 5"/>
    <w:basedOn w:val="Normal"/>
    <w:uiPriority w:val="99"/>
    <w:semiHidden/>
    <w:unhideWhenUsed/>
    <w:rsid w:val="00D05596"/>
    <w:pPr>
      <w:spacing w:after="120"/>
      <w:ind w:left="1800"/>
      <w:contextualSpacing/>
    </w:pPr>
  </w:style>
  <w:style w:type="paragraph" w:styleId="ListNumber">
    <w:name w:val="List Number"/>
    <w:basedOn w:val="Normal"/>
    <w:uiPriority w:val="99"/>
    <w:semiHidden/>
    <w:unhideWhenUsed/>
    <w:rsid w:val="00D05596"/>
    <w:pPr>
      <w:numPr>
        <w:numId w:val="42"/>
      </w:numPr>
      <w:contextualSpacing/>
    </w:pPr>
  </w:style>
  <w:style w:type="paragraph" w:styleId="ListNumber2">
    <w:name w:val="List Number 2"/>
    <w:basedOn w:val="Normal"/>
    <w:uiPriority w:val="99"/>
    <w:semiHidden/>
    <w:unhideWhenUsed/>
    <w:rsid w:val="00D05596"/>
    <w:pPr>
      <w:numPr>
        <w:numId w:val="43"/>
      </w:numPr>
      <w:contextualSpacing/>
    </w:pPr>
  </w:style>
  <w:style w:type="paragraph" w:styleId="ListNumber3">
    <w:name w:val="List Number 3"/>
    <w:basedOn w:val="Normal"/>
    <w:uiPriority w:val="99"/>
    <w:semiHidden/>
    <w:unhideWhenUsed/>
    <w:rsid w:val="00D05596"/>
    <w:pPr>
      <w:numPr>
        <w:numId w:val="44"/>
      </w:numPr>
      <w:contextualSpacing/>
    </w:pPr>
  </w:style>
  <w:style w:type="paragraph" w:styleId="ListNumber4">
    <w:name w:val="List Number 4"/>
    <w:basedOn w:val="Normal"/>
    <w:uiPriority w:val="99"/>
    <w:semiHidden/>
    <w:unhideWhenUsed/>
    <w:rsid w:val="00D05596"/>
    <w:pPr>
      <w:numPr>
        <w:numId w:val="45"/>
      </w:numPr>
      <w:contextualSpacing/>
    </w:pPr>
  </w:style>
  <w:style w:type="paragraph" w:styleId="ListNumber5">
    <w:name w:val="List Number 5"/>
    <w:basedOn w:val="Normal"/>
    <w:uiPriority w:val="99"/>
    <w:semiHidden/>
    <w:unhideWhenUsed/>
    <w:rsid w:val="00D05596"/>
    <w:pPr>
      <w:numPr>
        <w:numId w:val="46"/>
      </w:numPr>
      <w:contextualSpacing/>
    </w:pPr>
  </w:style>
  <w:style w:type="table" w:styleId="ListTable1Light">
    <w:name w:val="List Table 1 Light"/>
    <w:basedOn w:val="TableNormal"/>
    <w:uiPriority w:val="46"/>
    <w:rsid w:val="00D05596"/>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D05596"/>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D05596"/>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D05596"/>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D05596"/>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D05596"/>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D05596"/>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D05596"/>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D05596"/>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D05596"/>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D05596"/>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D05596"/>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D05596"/>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D05596"/>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D05596"/>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D05596"/>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D05596"/>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D05596"/>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D05596"/>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D05596"/>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D05596"/>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D05596"/>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D05596"/>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D05596"/>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D05596"/>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D05596"/>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D05596"/>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D05596"/>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D05596"/>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D05596"/>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D05596"/>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D05596"/>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D05596"/>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D05596"/>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D05596"/>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D05596"/>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D05596"/>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D05596"/>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D05596"/>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D05596"/>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D05596"/>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D05596"/>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D05596"/>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D05596"/>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D05596"/>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D05596"/>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D05596"/>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D05596"/>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D05596"/>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D05596"/>
    <w:pPr>
      <w:tabs>
        <w:tab w:val="left" w:pos="480"/>
        <w:tab w:val="left" w:pos="960"/>
        <w:tab w:val="left" w:pos="1440"/>
        <w:tab w:val="left" w:pos="1920"/>
        <w:tab w:val="left" w:pos="2400"/>
        <w:tab w:val="left" w:pos="2880"/>
        <w:tab w:val="left" w:pos="3360"/>
        <w:tab w:val="left" w:pos="3840"/>
        <w:tab w:val="left" w:pos="4320"/>
      </w:tabs>
    </w:pPr>
    <w:rPr>
      <w:rFonts w:ascii="Consolas" w:hAnsi="Consolas"/>
      <w:sz w:val="20"/>
      <w:szCs w:val="20"/>
    </w:rPr>
  </w:style>
  <w:style w:type="character" w:customStyle="1" w:styleId="MacroTextChar">
    <w:name w:val="Macro Text Char"/>
    <w:basedOn w:val="DefaultParagraphFont"/>
    <w:link w:val="MacroText"/>
    <w:uiPriority w:val="99"/>
    <w:semiHidden/>
    <w:rsid w:val="00D05596"/>
    <w:rPr>
      <w:rFonts w:ascii="Consolas" w:hAnsi="Consolas"/>
      <w:sz w:val="20"/>
      <w:szCs w:val="20"/>
    </w:rPr>
  </w:style>
  <w:style w:type="table" w:styleId="MediumGrid1">
    <w:name w:val="Medium Grid 1"/>
    <w:basedOn w:val="TableNormal"/>
    <w:uiPriority w:val="67"/>
    <w:semiHidden/>
    <w:unhideWhenUsed/>
    <w:rsid w:val="00D05596"/>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D05596"/>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D05596"/>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D05596"/>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D05596"/>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D05596"/>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D05596"/>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D05596"/>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D05596"/>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D05596"/>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D05596"/>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D05596"/>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D05596"/>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D05596"/>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D0559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D0559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D0559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D0559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D0559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D0559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D0559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D05596"/>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D05596"/>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D05596"/>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D05596"/>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D05596"/>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D05596"/>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D05596"/>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D05596"/>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D05596"/>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D05596"/>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D05596"/>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D05596"/>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D05596"/>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D05596"/>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D05596"/>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D05596"/>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D05596"/>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D05596"/>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D05596"/>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D05596"/>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D05596"/>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D0559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D0559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D0559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D0559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D0559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D0559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D0559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D05596"/>
    <w:rPr>
      <w:color w:val="2B579A"/>
      <w:shd w:val="clear" w:color="auto" w:fill="E1DFDD"/>
    </w:rPr>
  </w:style>
  <w:style w:type="paragraph" w:styleId="MessageHeader">
    <w:name w:val="Message Header"/>
    <w:basedOn w:val="Normal"/>
    <w:link w:val="MessageHeaderChar"/>
    <w:uiPriority w:val="99"/>
    <w:semiHidden/>
    <w:unhideWhenUsed/>
    <w:rsid w:val="00D05596"/>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D05596"/>
    <w:rPr>
      <w:rFonts w:asciiTheme="majorHAnsi" w:eastAsiaTheme="majorEastAsia" w:hAnsiTheme="majorHAnsi" w:cstheme="majorBidi"/>
      <w:shd w:val="pct20" w:color="auto" w:fill="auto"/>
    </w:rPr>
  </w:style>
  <w:style w:type="paragraph" w:styleId="NormalIndent">
    <w:name w:val="Normal Indent"/>
    <w:basedOn w:val="Normal"/>
    <w:uiPriority w:val="99"/>
    <w:semiHidden/>
    <w:unhideWhenUsed/>
    <w:rsid w:val="00D05596"/>
    <w:pPr>
      <w:ind w:left="720"/>
    </w:pPr>
  </w:style>
  <w:style w:type="paragraph" w:styleId="NoteHeading">
    <w:name w:val="Note Heading"/>
    <w:basedOn w:val="Normal"/>
    <w:next w:val="Normal"/>
    <w:link w:val="NoteHeadingChar"/>
    <w:uiPriority w:val="99"/>
    <w:semiHidden/>
    <w:unhideWhenUsed/>
    <w:rsid w:val="00D05596"/>
  </w:style>
  <w:style w:type="character" w:customStyle="1" w:styleId="NoteHeadingChar">
    <w:name w:val="Note Heading Char"/>
    <w:basedOn w:val="DefaultParagraphFont"/>
    <w:link w:val="NoteHeading"/>
    <w:uiPriority w:val="99"/>
    <w:semiHidden/>
    <w:rsid w:val="00D05596"/>
  </w:style>
  <w:style w:type="character" w:styleId="PageNumber">
    <w:name w:val="page number"/>
    <w:basedOn w:val="DefaultParagraphFont"/>
    <w:uiPriority w:val="99"/>
    <w:semiHidden/>
    <w:unhideWhenUsed/>
    <w:rsid w:val="00D05596"/>
  </w:style>
  <w:style w:type="character" w:styleId="PlaceholderText">
    <w:name w:val="Placeholder Text"/>
    <w:basedOn w:val="DefaultParagraphFont"/>
    <w:uiPriority w:val="99"/>
    <w:semiHidden/>
    <w:rsid w:val="00D05596"/>
    <w:rPr>
      <w:color w:val="666666"/>
    </w:rPr>
  </w:style>
  <w:style w:type="table" w:styleId="PlainTable1">
    <w:name w:val="Plain Table 1"/>
    <w:basedOn w:val="TableNormal"/>
    <w:uiPriority w:val="41"/>
    <w:rsid w:val="00D05596"/>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PlainText">
    <w:name w:val="Plain Text"/>
    <w:basedOn w:val="Normal"/>
    <w:link w:val="PlainTextChar"/>
    <w:uiPriority w:val="99"/>
    <w:semiHidden/>
    <w:unhideWhenUsed/>
    <w:rsid w:val="00D05596"/>
    <w:rPr>
      <w:rFonts w:ascii="Consolas" w:hAnsi="Consolas"/>
      <w:sz w:val="21"/>
      <w:szCs w:val="21"/>
    </w:rPr>
  </w:style>
  <w:style w:type="character" w:customStyle="1" w:styleId="PlainTextChar">
    <w:name w:val="Plain Text Char"/>
    <w:basedOn w:val="DefaultParagraphFont"/>
    <w:link w:val="PlainText"/>
    <w:uiPriority w:val="99"/>
    <w:semiHidden/>
    <w:rsid w:val="00D05596"/>
    <w:rPr>
      <w:rFonts w:ascii="Consolas" w:hAnsi="Consolas"/>
      <w:sz w:val="21"/>
      <w:szCs w:val="21"/>
    </w:rPr>
  </w:style>
  <w:style w:type="paragraph" w:styleId="Salutation">
    <w:name w:val="Salutation"/>
    <w:basedOn w:val="Normal"/>
    <w:next w:val="Normal"/>
    <w:link w:val="SalutationChar"/>
    <w:uiPriority w:val="99"/>
    <w:semiHidden/>
    <w:unhideWhenUsed/>
    <w:rsid w:val="00D05596"/>
  </w:style>
  <w:style w:type="character" w:customStyle="1" w:styleId="SalutationChar">
    <w:name w:val="Salutation Char"/>
    <w:basedOn w:val="DefaultParagraphFont"/>
    <w:link w:val="Salutation"/>
    <w:uiPriority w:val="99"/>
    <w:semiHidden/>
    <w:rsid w:val="00D05596"/>
  </w:style>
  <w:style w:type="paragraph" w:styleId="Signature">
    <w:name w:val="Signature"/>
    <w:basedOn w:val="Normal"/>
    <w:link w:val="SignatureChar"/>
    <w:uiPriority w:val="99"/>
    <w:semiHidden/>
    <w:unhideWhenUsed/>
    <w:rsid w:val="00D05596"/>
    <w:pPr>
      <w:ind w:left="4320"/>
    </w:pPr>
  </w:style>
  <w:style w:type="character" w:customStyle="1" w:styleId="SignatureChar">
    <w:name w:val="Signature Char"/>
    <w:basedOn w:val="DefaultParagraphFont"/>
    <w:link w:val="Signature"/>
    <w:uiPriority w:val="99"/>
    <w:semiHidden/>
    <w:rsid w:val="00D05596"/>
  </w:style>
  <w:style w:type="character" w:styleId="SmartHyperlink">
    <w:name w:val="Smart Hyperlink"/>
    <w:basedOn w:val="DefaultParagraphFont"/>
    <w:uiPriority w:val="99"/>
    <w:semiHidden/>
    <w:unhideWhenUsed/>
    <w:rsid w:val="00D05596"/>
    <w:rPr>
      <w:u w:val="dotted"/>
    </w:rPr>
  </w:style>
  <w:style w:type="character" w:styleId="SmartLink">
    <w:name w:val="Smart Link"/>
    <w:basedOn w:val="DefaultParagraphFont"/>
    <w:uiPriority w:val="99"/>
    <w:semiHidden/>
    <w:unhideWhenUsed/>
    <w:rsid w:val="00D05596"/>
    <w:rPr>
      <w:color w:val="0000FF"/>
      <w:u w:val="single"/>
      <w:shd w:val="clear" w:color="auto" w:fill="F3F2F1"/>
    </w:rPr>
  </w:style>
  <w:style w:type="table" w:styleId="Table3Deffects1">
    <w:name w:val="Table 3D effects 1"/>
    <w:basedOn w:val="TableNormal"/>
    <w:uiPriority w:val="99"/>
    <w:semiHidden/>
    <w:unhideWhenUsed/>
    <w:rsid w:val="00D05596"/>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D05596"/>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D05596"/>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D05596"/>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D05596"/>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D05596"/>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D05596"/>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D05596"/>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D05596"/>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D05596"/>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D05596"/>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D05596"/>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D05596"/>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D05596"/>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D05596"/>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D05596"/>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D05596"/>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D05596"/>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0">
    <w:name w:val="Table Grid 2"/>
    <w:basedOn w:val="TableNormal"/>
    <w:uiPriority w:val="99"/>
    <w:semiHidden/>
    <w:unhideWhenUsed/>
    <w:rsid w:val="00D05596"/>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D05596"/>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D05596"/>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D05596"/>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D05596"/>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D05596"/>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D05596"/>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D05596"/>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D05596"/>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D05596"/>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D05596"/>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D05596"/>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D05596"/>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D05596"/>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D05596"/>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D05596"/>
    <w:pPr>
      <w:ind w:left="240" w:hanging="240"/>
    </w:pPr>
  </w:style>
  <w:style w:type="paragraph" w:styleId="TableofFigures">
    <w:name w:val="table of figures"/>
    <w:basedOn w:val="Normal"/>
    <w:next w:val="Normal"/>
    <w:uiPriority w:val="99"/>
    <w:semiHidden/>
    <w:unhideWhenUsed/>
    <w:rsid w:val="00D05596"/>
  </w:style>
  <w:style w:type="table" w:styleId="TableProfessional">
    <w:name w:val="Table Professional"/>
    <w:basedOn w:val="TableNormal"/>
    <w:uiPriority w:val="99"/>
    <w:semiHidden/>
    <w:unhideWhenUsed/>
    <w:rsid w:val="00D05596"/>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D05596"/>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D05596"/>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D05596"/>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D05596"/>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D05596"/>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D0559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D05596"/>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D05596"/>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D05596"/>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D05596"/>
    <w:pPr>
      <w:spacing w:before="120"/>
    </w:pPr>
    <w:rPr>
      <w:rFonts w:asciiTheme="majorHAnsi" w:eastAsiaTheme="majorEastAsia" w:hAnsiTheme="majorHAnsi" w:cstheme="majorBidi"/>
      <w:b/>
      <w:bCs/>
    </w:rPr>
  </w:style>
  <w:style w:type="paragraph" w:styleId="TOC4">
    <w:name w:val="toc 4"/>
    <w:basedOn w:val="Normal"/>
    <w:next w:val="Normal"/>
    <w:autoRedefine/>
    <w:uiPriority w:val="39"/>
    <w:semiHidden/>
    <w:unhideWhenUsed/>
    <w:rsid w:val="00D05596"/>
    <w:pPr>
      <w:spacing w:after="100"/>
      <w:ind w:left="720"/>
    </w:pPr>
  </w:style>
  <w:style w:type="paragraph" w:styleId="TOC5">
    <w:name w:val="toc 5"/>
    <w:basedOn w:val="Normal"/>
    <w:next w:val="Normal"/>
    <w:autoRedefine/>
    <w:uiPriority w:val="39"/>
    <w:semiHidden/>
    <w:unhideWhenUsed/>
    <w:rsid w:val="00D05596"/>
    <w:pPr>
      <w:spacing w:after="100"/>
      <w:ind w:left="960"/>
    </w:pPr>
  </w:style>
  <w:style w:type="paragraph" w:styleId="TOC6">
    <w:name w:val="toc 6"/>
    <w:basedOn w:val="Normal"/>
    <w:next w:val="Normal"/>
    <w:autoRedefine/>
    <w:uiPriority w:val="39"/>
    <w:semiHidden/>
    <w:unhideWhenUsed/>
    <w:rsid w:val="00D05596"/>
    <w:pPr>
      <w:spacing w:after="100"/>
      <w:ind w:left="1200"/>
    </w:pPr>
  </w:style>
  <w:style w:type="paragraph" w:styleId="TOC7">
    <w:name w:val="toc 7"/>
    <w:basedOn w:val="Normal"/>
    <w:next w:val="Normal"/>
    <w:autoRedefine/>
    <w:uiPriority w:val="39"/>
    <w:semiHidden/>
    <w:unhideWhenUsed/>
    <w:rsid w:val="00D05596"/>
    <w:pPr>
      <w:spacing w:after="100"/>
      <w:ind w:left="1440"/>
    </w:pPr>
  </w:style>
  <w:style w:type="paragraph" w:styleId="TOC8">
    <w:name w:val="toc 8"/>
    <w:basedOn w:val="Normal"/>
    <w:next w:val="Normal"/>
    <w:autoRedefine/>
    <w:uiPriority w:val="39"/>
    <w:semiHidden/>
    <w:unhideWhenUsed/>
    <w:rsid w:val="00D05596"/>
    <w:pPr>
      <w:spacing w:after="100"/>
      <w:ind w:left="1680"/>
    </w:pPr>
  </w:style>
  <w:style w:type="paragraph" w:styleId="TOC9">
    <w:name w:val="toc 9"/>
    <w:basedOn w:val="Normal"/>
    <w:next w:val="Normal"/>
    <w:autoRedefine/>
    <w:uiPriority w:val="39"/>
    <w:semiHidden/>
    <w:unhideWhenUsed/>
    <w:rsid w:val="00D05596"/>
    <w:pPr>
      <w:spacing w:after="100"/>
      <w:ind w:left="19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8954134">
      <w:bodyDiv w:val="1"/>
      <w:marLeft w:val="0"/>
      <w:marRight w:val="0"/>
      <w:marTop w:val="0"/>
      <w:marBottom w:val="0"/>
      <w:divBdr>
        <w:top w:val="none" w:sz="0" w:space="0" w:color="auto"/>
        <w:left w:val="none" w:sz="0" w:space="0" w:color="auto"/>
        <w:bottom w:val="none" w:sz="0" w:space="0" w:color="auto"/>
        <w:right w:val="none" w:sz="0" w:space="0" w:color="auto"/>
      </w:divBdr>
    </w:div>
    <w:div w:id="1527254427">
      <w:bodyDiv w:val="1"/>
      <w:marLeft w:val="0"/>
      <w:marRight w:val="0"/>
      <w:marTop w:val="0"/>
      <w:marBottom w:val="0"/>
      <w:divBdr>
        <w:top w:val="none" w:sz="0" w:space="0" w:color="auto"/>
        <w:left w:val="none" w:sz="0" w:space="0" w:color="auto"/>
        <w:bottom w:val="none" w:sz="0" w:space="0" w:color="auto"/>
        <w:right w:val="none" w:sz="0" w:space="0" w:color="auto"/>
      </w:divBdr>
      <w:divsChild>
        <w:div w:id="646208146">
          <w:marLeft w:val="0"/>
          <w:marRight w:val="0"/>
          <w:marTop w:val="0"/>
          <w:marBottom w:val="0"/>
          <w:divBdr>
            <w:top w:val="none" w:sz="0" w:space="0" w:color="auto"/>
            <w:left w:val="none" w:sz="0" w:space="0" w:color="auto"/>
            <w:bottom w:val="none" w:sz="0" w:space="0" w:color="auto"/>
            <w:right w:val="none" w:sz="0" w:space="0" w:color="auto"/>
          </w:divBdr>
        </w:div>
        <w:div w:id="1688093830">
          <w:marLeft w:val="0"/>
          <w:marRight w:val="0"/>
          <w:marTop w:val="0"/>
          <w:marBottom w:val="0"/>
          <w:divBdr>
            <w:top w:val="none" w:sz="0" w:space="0" w:color="auto"/>
            <w:left w:val="none" w:sz="0" w:space="0" w:color="auto"/>
            <w:bottom w:val="none" w:sz="0" w:space="0" w:color="auto"/>
            <w:right w:val="none" w:sz="0" w:space="0" w:color="auto"/>
          </w:divBdr>
          <w:divsChild>
            <w:div w:id="366957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image" Target="media/image2.png"/><Relationship Id="rId26" Type="http://schemas.openxmlformats.org/officeDocument/2006/relationships/hyperlink" Target="https://www.cnib.ca/en/completed-projects" TargetMode="External"/><Relationship Id="rId39" Type="http://schemas.openxmlformats.org/officeDocument/2006/relationships/hyperlink" Target="https://www.w3.org/TR/WCAG22/" TargetMode="External"/><Relationship Id="rId21" Type="http://schemas.openxmlformats.org/officeDocument/2006/relationships/image" Target="media/image5.png"/><Relationship Id="rId34" Type="http://schemas.openxmlformats.org/officeDocument/2006/relationships/hyperlink" Target="https://doi.org/10.1007/978-1-349-20895-1" TargetMode="External"/><Relationship Id="rId42" Type="http://schemas.openxmlformats.org/officeDocument/2006/relationships/header" Target="header6.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eader" Target="header3.xml"/><Relationship Id="rId29" Type="http://schemas.openxmlformats.org/officeDocument/2006/relationships/hyperlink" Target="https://doi.org/10.1093/acprof:oso/9780198237907.001.0001"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hyperlink" Target="https://doi.org/10.1139/facets-2020-0017" TargetMode="External"/><Relationship Id="rId32" Type="http://schemas.openxmlformats.org/officeDocument/2006/relationships/hyperlink" Target="https://doi.org/10.1080/10400435.1998.10131957" TargetMode="External"/><Relationship Id="rId37" Type="http://schemas.openxmlformats.org/officeDocument/2006/relationships/hyperlink" Target="https://doi.org/10.1186/1471-2288-8-45" TargetMode="External"/><Relationship Id="rId40" Type="http://schemas.openxmlformats.org/officeDocument/2006/relationships/header" Target="header4.xml"/><Relationship Id="rId45"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yperlink" Target="https://doi.org/10.1080/01944366908977225" TargetMode="External"/><Relationship Id="rId28" Type="http://schemas.openxmlformats.org/officeDocument/2006/relationships/hyperlink" Target="https://chicagounbound.uchicago.edu/uclf/vol1989/iss1/8" TargetMode="External"/><Relationship Id="rId36" Type="http://schemas.openxmlformats.org/officeDocument/2006/relationships/hyperlink" Target="https://doi.org/10.1080/15710880701875068" TargetMode="External"/><Relationship Id="rId10" Type="http://schemas.openxmlformats.org/officeDocument/2006/relationships/endnotes" Target="endnotes.xml"/><Relationship Id="rId19" Type="http://schemas.openxmlformats.org/officeDocument/2006/relationships/image" Target="media/image3.jpg"/><Relationship Id="rId31" Type="http://schemas.openxmlformats.org/officeDocument/2006/relationships/hyperlink" Target="https://laws-lois.justice.gc.ca/eng/acts/A-0.6/" TargetMode="External"/><Relationship Id="rId44"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https://doi.org/10.3138/9781442668515-009" TargetMode="External"/><Relationship Id="rId27" Type="http://schemas.openxmlformats.org/officeDocument/2006/relationships/hyperlink" Target="https://www.cnib.ca/en/completed-projects" TargetMode="External"/><Relationship Id="rId30" Type="http://schemas.openxmlformats.org/officeDocument/2006/relationships/hyperlink" Target="https://doi.org/10.1145/3419249.3420121" TargetMode="External"/><Relationship Id="rId35" Type="http://schemas.openxmlformats.org/officeDocument/2006/relationships/hyperlink" Target="https://doi.org/10.1109/52.219617" TargetMode="External"/><Relationship Id="rId43" Type="http://schemas.openxmlformats.org/officeDocument/2006/relationships/image" Target="media/image7.jpg"/><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yperlink" Target="https://www.cnib.ca/en/completed-projects" TargetMode="External"/><Relationship Id="rId33" Type="http://schemas.openxmlformats.org/officeDocument/2006/relationships/hyperlink" Target="https://doi.org/10.1145/1744161.1744163" TargetMode="External"/><Relationship Id="rId38" Type="http://schemas.openxmlformats.org/officeDocument/2006/relationships/hyperlink" Target="https://www.ontario.ca/laws/statute/05a11" TargetMode="External"/><Relationship Id="rId20" Type="http://schemas.openxmlformats.org/officeDocument/2006/relationships/image" Target="media/image4.png"/><Relationship Id="rId41" Type="http://schemas.openxmlformats.org/officeDocument/2006/relationships/header" Target="header5.xml"/></Relationships>
</file>

<file path=word/_rels/header4.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2AA314AECE19848A0AB78B54DAF8E20" ma:contentTypeVersion="23" ma:contentTypeDescription="Create a new document." ma:contentTypeScope="" ma:versionID="79ba80bcffab7b774d06bd6874f9cbb5">
  <xsd:schema xmlns:xsd="http://www.w3.org/2001/XMLSchema" xmlns:xs="http://www.w3.org/2001/XMLSchema" xmlns:p="http://schemas.microsoft.com/office/2006/metadata/properties" xmlns:ns2="c657a06b-7b0e-4411-9e07-ce8d471ada44" xmlns:ns3="dd4445f9-a84f-4acf-84b7-40fb6d99f4fb" xmlns:ns4="885ee9d2-83be-4fb3-ab1a-16a638b500cc" targetNamespace="http://schemas.microsoft.com/office/2006/metadata/properties" ma:root="true" ma:fieldsID="950d0843a90a563feca25af0c48ea3b7" ns2:_="" ns3:_="" ns4:_="">
    <xsd:import namespace="c657a06b-7b0e-4411-9e07-ce8d471ada44"/>
    <xsd:import namespace="dd4445f9-a84f-4acf-84b7-40fb6d99f4fb"/>
    <xsd:import namespace="885ee9d2-83be-4fb3-ab1a-16a638b500cc"/>
    <xsd:element name="properties">
      <xsd:complexType>
        <xsd:sequence>
          <xsd:element name="documentManagement">
            <xsd:complexType>
              <xsd:all>
                <xsd:element ref="ns2:Region" minOccurs="0"/>
                <xsd:element ref="ns2:Asset_x0020_Type" minOccurs="0"/>
                <xsd:element ref="ns2:Doc_x0020_Type" minOccurs="0"/>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657a06b-7b0e-4411-9e07-ce8d471ada44" elementFormDefault="qualified">
    <xsd:import namespace="http://schemas.microsoft.com/office/2006/documentManagement/types"/>
    <xsd:import namespace="http://schemas.microsoft.com/office/infopath/2007/PartnerControls"/>
    <xsd:element name="Region" ma:index="2" nillable="true" ma:displayName="Region" ma:format="Dropdown" ma:internalName="Region" ma:readOnly="false">
      <xsd:simpleType>
        <xsd:restriction base="dms:Choice">
          <xsd:enumeration value="National"/>
          <xsd:enumeration value="BC &amp; Yukon"/>
          <xsd:enumeration value="Alberta &amp; Northwest Territories"/>
          <xsd:enumeration value="Saskatchewan"/>
          <xsd:enumeration value="Manitoba"/>
          <xsd:enumeration value="Ontario"/>
          <xsd:enumeration value="Ontario – GTA"/>
          <xsd:enumeration value="Ontario – East"/>
          <xsd:enumeration value="Ontario – West"/>
          <xsd:enumeration value="Ontario – North"/>
          <xsd:enumeration value="Quebec"/>
          <xsd:enumeration value="New Brunswick"/>
          <xsd:enumeration value="PEI"/>
          <xsd:enumeration value="Nova Scotia"/>
          <xsd:enumeration value="Newfoundland and Labrador"/>
        </xsd:restriction>
      </xsd:simpleType>
    </xsd:element>
    <xsd:element name="Asset_x0020_Type" ma:index="3" nillable="true" ma:displayName="Asset Type" ma:format="Dropdown" ma:internalName="Asset_x0020_Type" ma:readOnly="false">
      <xsd:simpleType>
        <xsd:restriction base="dms:Choice">
          <xsd:enumeration value="Logos"/>
          <xsd:enumeration value="Icons"/>
          <xsd:enumeration value="Templates"/>
          <xsd:enumeration value="Audio"/>
          <xsd:enumeration value="Video"/>
          <xsd:enumeration value="Social Media"/>
          <xsd:enumeration value="Other"/>
        </xsd:restriction>
      </xsd:simpleType>
    </xsd:element>
    <xsd:element name="Doc_x0020_Type" ma:index="4" nillable="true" ma:displayName="File Type" ma:default="EPS" ma:format="Dropdown" ma:internalName="Doc_x0020_Type" ma:readOnly="false">
      <xsd:simpleType>
        <xsd:restriction base="dms:Choice">
          <xsd:enumeration value="EPS"/>
          <xsd:enumeration value="AI"/>
          <xsd:enumeration value="PDF"/>
          <xsd:enumeration value="PNG"/>
          <xsd:enumeration value="JPG"/>
          <xsd:enumeration value="PPTX"/>
          <xsd:enumeration value="DOC"/>
          <xsd:enumeration value="MP4"/>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f792b97e-a1ac-4342-99f9-0edbd5c820a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d4445f9-a84f-4acf-84b7-40fb6d99f4f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85ee9d2-83be-4fb3-ab1a-16a638b500cc"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dbb3be13-d592-43cb-bc4c-19ce0498b793}" ma:internalName="TaxCatchAll" ma:showField="CatchAllData" ma:web="885ee9d2-83be-4fb3-ab1a-16a638b500c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Asset_x0020_Type xmlns="c657a06b-7b0e-4411-9e07-ce8d471ada44">Templates</Asset_x0020_Type>
    <Region xmlns="c657a06b-7b0e-4411-9e07-ce8d471ada44">National</Region>
    <Doc_x0020_Type xmlns="c657a06b-7b0e-4411-9e07-ce8d471ada44">DOC</Doc_x0020_Type>
    <TaxCatchAll xmlns="885ee9d2-83be-4fb3-ab1a-16a638b500cc" xsi:nil="true"/>
    <lcf76f155ced4ddcb4097134ff3c332f xmlns="c657a06b-7b0e-4411-9e07-ce8d471ada44">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B22B31E-3CCC-4D7A-8CC8-6C55E21607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657a06b-7b0e-4411-9e07-ce8d471ada44"/>
    <ds:schemaRef ds:uri="dd4445f9-a84f-4acf-84b7-40fb6d99f4fb"/>
    <ds:schemaRef ds:uri="885ee9d2-83be-4fb3-ab1a-16a638b500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4711B5D-900F-4B92-8D35-7BC604E4C1A3}">
  <ds:schemaRefs>
    <ds:schemaRef ds:uri="http://schemas.microsoft.com/office/2006/metadata/properties"/>
    <ds:schemaRef ds:uri="http://schemas.microsoft.com/office/infopath/2007/PartnerControls"/>
    <ds:schemaRef ds:uri="c657a06b-7b0e-4411-9e07-ce8d471ada44"/>
    <ds:schemaRef ds:uri="885ee9d2-83be-4fb3-ab1a-16a638b500cc"/>
  </ds:schemaRefs>
</ds:datastoreItem>
</file>

<file path=customXml/itemProps3.xml><?xml version="1.0" encoding="utf-8"?>
<ds:datastoreItem xmlns:ds="http://schemas.openxmlformats.org/officeDocument/2006/customXml" ds:itemID="{21CEEF60-D2CB-47A2-B02B-CC9B4F0A8EE7}">
  <ds:schemaRefs>
    <ds:schemaRef ds:uri="http://schemas.openxmlformats.org/officeDocument/2006/bibliography"/>
  </ds:schemaRefs>
</ds:datastoreItem>
</file>

<file path=customXml/itemProps4.xml><?xml version="1.0" encoding="utf-8"?>
<ds:datastoreItem xmlns:ds="http://schemas.openxmlformats.org/officeDocument/2006/customXml" ds:itemID="{DBC04F6D-780D-451D-8404-E26B112E673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3136</TotalTime>
  <Pages>214</Pages>
  <Words>46185</Words>
  <Characters>263257</Characters>
  <Application>Microsoft Office Word</Application>
  <DocSecurity>8</DocSecurity>
  <Lines>2193</Lines>
  <Paragraphs>617</Paragraphs>
  <ScaleCrop>false</ScaleCrop>
  <HeadingPairs>
    <vt:vector size="2" baseType="variant">
      <vt:variant>
        <vt:lpstr>Title</vt:lpstr>
      </vt:variant>
      <vt:variant>
        <vt:i4>1</vt:i4>
      </vt:variant>
    </vt:vector>
  </HeadingPairs>
  <TitlesOfParts>
    <vt:vector size="1" baseType="lpstr">
      <vt:lpstr>Accessibility Competencies in the Workplace: A Culture Building Framework for Inclusive Workplaces</vt:lpstr>
    </vt:vector>
  </TitlesOfParts>
  <Manager>Ana Sofia Barrows</Manager>
  <Company>CNIB</Company>
  <LinksUpToDate>false</LinksUpToDate>
  <CharactersWithSpaces>308825</CharactersWithSpaces>
  <SharedDoc>false</SharedDoc>
  <HLinks>
    <vt:vector size="288" baseType="variant">
      <vt:variant>
        <vt:i4>1966098</vt:i4>
      </vt:variant>
      <vt:variant>
        <vt:i4>258</vt:i4>
      </vt:variant>
      <vt:variant>
        <vt:i4>0</vt:i4>
      </vt:variant>
      <vt:variant>
        <vt:i4>5</vt:i4>
      </vt:variant>
      <vt:variant>
        <vt:lpwstr>https://www.w3.org/TR/WCAG22/</vt:lpwstr>
      </vt:variant>
      <vt:variant>
        <vt:lpwstr/>
      </vt:variant>
      <vt:variant>
        <vt:i4>655435</vt:i4>
      </vt:variant>
      <vt:variant>
        <vt:i4>255</vt:i4>
      </vt:variant>
      <vt:variant>
        <vt:i4>0</vt:i4>
      </vt:variant>
      <vt:variant>
        <vt:i4>5</vt:i4>
      </vt:variant>
      <vt:variant>
        <vt:lpwstr>https://www.ontario.ca/laws/statute/05a11</vt:lpwstr>
      </vt:variant>
      <vt:variant>
        <vt:lpwstr/>
      </vt:variant>
      <vt:variant>
        <vt:i4>2162800</vt:i4>
      </vt:variant>
      <vt:variant>
        <vt:i4>252</vt:i4>
      </vt:variant>
      <vt:variant>
        <vt:i4>0</vt:i4>
      </vt:variant>
      <vt:variant>
        <vt:i4>5</vt:i4>
      </vt:variant>
      <vt:variant>
        <vt:lpwstr>https://doi.org/10.1186/1471-2288-8-45</vt:lpwstr>
      </vt:variant>
      <vt:variant>
        <vt:lpwstr/>
      </vt:variant>
      <vt:variant>
        <vt:i4>1835093</vt:i4>
      </vt:variant>
      <vt:variant>
        <vt:i4>249</vt:i4>
      </vt:variant>
      <vt:variant>
        <vt:i4>0</vt:i4>
      </vt:variant>
      <vt:variant>
        <vt:i4>5</vt:i4>
      </vt:variant>
      <vt:variant>
        <vt:lpwstr>https://doi.org/10.1080/15710880701875068</vt:lpwstr>
      </vt:variant>
      <vt:variant>
        <vt:lpwstr/>
      </vt:variant>
      <vt:variant>
        <vt:i4>3539052</vt:i4>
      </vt:variant>
      <vt:variant>
        <vt:i4>246</vt:i4>
      </vt:variant>
      <vt:variant>
        <vt:i4>0</vt:i4>
      </vt:variant>
      <vt:variant>
        <vt:i4>5</vt:i4>
      </vt:variant>
      <vt:variant>
        <vt:lpwstr>https://academic.oup.com/iwc/article-abstract/23/1/4/693091</vt:lpwstr>
      </vt:variant>
      <vt:variant>
        <vt:lpwstr/>
      </vt:variant>
      <vt:variant>
        <vt:i4>8192108</vt:i4>
      </vt:variant>
      <vt:variant>
        <vt:i4>243</vt:i4>
      </vt:variant>
      <vt:variant>
        <vt:i4>0</vt:i4>
      </vt:variant>
      <vt:variant>
        <vt:i4>5</vt:i4>
      </vt:variant>
      <vt:variant>
        <vt:lpwstr>https://laws-lois.justice.gc.ca/eng/acts/A-0.6/</vt:lpwstr>
      </vt:variant>
      <vt:variant>
        <vt:lpwstr/>
      </vt:variant>
      <vt:variant>
        <vt:i4>3342439</vt:i4>
      </vt:variant>
      <vt:variant>
        <vt:i4>240</vt:i4>
      </vt:variant>
      <vt:variant>
        <vt:i4>0</vt:i4>
      </vt:variant>
      <vt:variant>
        <vt:i4>5</vt:i4>
      </vt:variant>
      <vt:variant>
        <vt:lpwstr>https://doi.org/10.1145/3419249.3420174</vt:lpwstr>
      </vt:variant>
      <vt:variant>
        <vt:lpwstr/>
      </vt:variant>
      <vt:variant>
        <vt:i4>2949164</vt:i4>
      </vt:variant>
      <vt:variant>
        <vt:i4>237</vt:i4>
      </vt:variant>
      <vt:variant>
        <vt:i4>0</vt:i4>
      </vt:variant>
      <vt:variant>
        <vt:i4>5</vt:i4>
      </vt:variant>
      <vt:variant>
        <vt:lpwstr>https://chicagounbound.uchicago.edu/uclf/vol1989/iss1/8</vt:lpwstr>
      </vt:variant>
      <vt:variant>
        <vt:lpwstr/>
      </vt:variant>
      <vt:variant>
        <vt:i4>3670121</vt:i4>
      </vt:variant>
      <vt:variant>
        <vt:i4>234</vt:i4>
      </vt:variant>
      <vt:variant>
        <vt:i4>0</vt:i4>
      </vt:variant>
      <vt:variant>
        <vt:i4>5</vt:i4>
      </vt:variant>
      <vt:variant>
        <vt:lpwstr>https://www.cnib.ca/en/completed-projects</vt:lpwstr>
      </vt:variant>
      <vt:variant>
        <vt:lpwstr>Accessible%20Explainable%20Artificial%20Intelligence%20in%20Decision%20Making%20(2022-2025)</vt:lpwstr>
      </vt:variant>
      <vt:variant>
        <vt:i4>7274606</vt:i4>
      </vt:variant>
      <vt:variant>
        <vt:i4>231</vt:i4>
      </vt:variant>
      <vt:variant>
        <vt:i4>0</vt:i4>
      </vt:variant>
      <vt:variant>
        <vt:i4>5</vt:i4>
      </vt:variant>
      <vt:variant>
        <vt:lpwstr>https://www.cnib.ca/en/completed-projects</vt:lpwstr>
      </vt:variant>
      <vt:variant>
        <vt:lpwstr>Accessible%20and%20Inclusive%20Procurement%20and%20Supply%20Chain%20Model%20(2021-2024)</vt:lpwstr>
      </vt:variant>
      <vt:variant>
        <vt:i4>5373975</vt:i4>
      </vt:variant>
      <vt:variant>
        <vt:i4>228</vt:i4>
      </vt:variant>
      <vt:variant>
        <vt:i4>0</vt:i4>
      </vt:variant>
      <vt:variant>
        <vt:i4>5</vt:i4>
      </vt:variant>
      <vt:variant>
        <vt:lpwstr>https://www.cnib.ca/en/completed-projects</vt:lpwstr>
      </vt:variant>
      <vt:variant>
        <vt:lpwstr>Building%20an%20Evidence-Based%20Universal%20Design%20Framework%20for%20Employment%20Standards%20in%20Canada</vt:lpwstr>
      </vt:variant>
      <vt:variant>
        <vt:i4>5046287</vt:i4>
      </vt:variant>
      <vt:variant>
        <vt:i4>225</vt:i4>
      </vt:variant>
      <vt:variant>
        <vt:i4>0</vt:i4>
      </vt:variant>
      <vt:variant>
        <vt:i4>5</vt:i4>
      </vt:variant>
      <vt:variant>
        <vt:lpwstr>https://doi.org/10.1139/facets-2020-0017</vt:lpwstr>
      </vt:variant>
      <vt:variant>
        <vt:lpwstr/>
      </vt:variant>
      <vt:variant>
        <vt:i4>1507413</vt:i4>
      </vt:variant>
      <vt:variant>
        <vt:i4>222</vt:i4>
      </vt:variant>
      <vt:variant>
        <vt:i4>0</vt:i4>
      </vt:variant>
      <vt:variant>
        <vt:i4>5</vt:i4>
      </vt:variant>
      <vt:variant>
        <vt:lpwstr>https://doi.org/10.1080/01944366908977225</vt:lpwstr>
      </vt:variant>
      <vt:variant>
        <vt:lpwstr/>
      </vt:variant>
      <vt:variant>
        <vt:i4>1900592</vt:i4>
      </vt:variant>
      <vt:variant>
        <vt:i4>206</vt:i4>
      </vt:variant>
      <vt:variant>
        <vt:i4>0</vt:i4>
      </vt:variant>
      <vt:variant>
        <vt:i4>5</vt:i4>
      </vt:variant>
      <vt:variant>
        <vt:lpwstr/>
      </vt:variant>
      <vt:variant>
        <vt:lpwstr>_Toc225862120</vt:lpwstr>
      </vt:variant>
      <vt:variant>
        <vt:i4>1966128</vt:i4>
      </vt:variant>
      <vt:variant>
        <vt:i4>200</vt:i4>
      </vt:variant>
      <vt:variant>
        <vt:i4>0</vt:i4>
      </vt:variant>
      <vt:variant>
        <vt:i4>5</vt:i4>
      </vt:variant>
      <vt:variant>
        <vt:lpwstr/>
      </vt:variant>
      <vt:variant>
        <vt:lpwstr>_Toc225862119</vt:lpwstr>
      </vt:variant>
      <vt:variant>
        <vt:i4>1966128</vt:i4>
      </vt:variant>
      <vt:variant>
        <vt:i4>194</vt:i4>
      </vt:variant>
      <vt:variant>
        <vt:i4>0</vt:i4>
      </vt:variant>
      <vt:variant>
        <vt:i4>5</vt:i4>
      </vt:variant>
      <vt:variant>
        <vt:lpwstr/>
      </vt:variant>
      <vt:variant>
        <vt:lpwstr>_Toc225862118</vt:lpwstr>
      </vt:variant>
      <vt:variant>
        <vt:i4>1966128</vt:i4>
      </vt:variant>
      <vt:variant>
        <vt:i4>188</vt:i4>
      </vt:variant>
      <vt:variant>
        <vt:i4>0</vt:i4>
      </vt:variant>
      <vt:variant>
        <vt:i4>5</vt:i4>
      </vt:variant>
      <vt:variant>
        <vt:lpwstr/>
      </vt:variant>
      <vt:variant>
        <vt:lpwstr>_Toc225862117</vt:lpwstr>
      </vt:variant>
      <vt:variant>
        <vt:i4>1966128</vt:i4>
      </vt:variant>
      <vt:variant>
        <vt:i4>182</vt:i4>
      </vt:variant>
      <vt:variant>
        <vt:i4>0</vt:i4>
      </vt:variant>
      <vt:variant>
        <vt:i4>5</vt:i4>
      </vt:variant>
      <vt:variant>
        <vt:lpwstr/>
      </vt:variant>
      <vt:variant>
        <vt:lpwstr>_Toc225862116</vt:lpwstr>
      </vt:variant>
      <vt:variant>
        <vt:i4>1966128</vt:i4>
      </vt:variant>
      <vt:variant>
        <vt:i4>176</vt:i4>
      </vt:variant>
      <vt:variant>
        <vt:i4>0</vt:i4>
      </vt:variant>
      <vt:variant>
        <vt:i4>5</vt:i4>
      </vt:variant>
      <vt:variant>
        <vt:lpwstr/>
      </vt:variant>
      <vt:variant>
        <vt:lpwstr>_Toc225862115</vt:lpwstr>
      </vt:variant>
      <vt:variant>
        <vt:i4>1966128</vt:i4>
      </vt:variant>
      <vt:variant>
        <vt:i4>170</vt:i4>
      </vt:variant>
      <vt:variant>
        <vt:i4>0</vt:i4>
      </vt:variant>
      <vt:variant>
        <vt:i4>5</vt:i4>
      </vt:variant>
      <vt:variant>
        <vt:lpwstr/>
      </vt:variant>
      <vt:variant>
        <vt:lpwstr>_Toc225862114</vt:lpwstr>
      </vt:variant>
      <vt:variant>
        <vt:i4>1966128</vt:i4>
      </vt:variant>
      <vt:variant>
        <vt:i4>164</vt:i4>
      </vt:variant>
      <vt:variant>
        <vt:i4>0</vt:i4>
      </vt:variant>
      <vt:variant>
        <vt:i4>5</vt:i4>
      </vt:variant>
      <vt:variant>
        <vt:lpwstr/>
      </vt:variant>
      <vt:variant>
        <vt:lpwstr>_Toc225862113</vt:lpwstr>
      </vt:variant>
      <vt:variant>
        <vt:i4>1966128</vt:i4>
      </vt:variant>
      <vt:variant>
        <vt:i4>158</vt:i4>
      </vt:variant>
      <vt:variant>
        <vt:i4>0</vt:i4>
      </vt:variant>
      <vt:variant>
        <vt:i4>5</vt:i4>
      </vt:variant>
      <vt:variant>
        <vt:lpwstr/>
      </vt:variant>
      <vt:variant>
        <vt:lpwstr>_Toc225862112</vt:lpwstr>
      </vt:variant>
      <vt:variant>
        <vt:i4>1966128</vt:i4>
      </vt:variant>
      <vt:variant>
        <vt:i4>152</vt:i4>
      </vt:variant>
      <vt:variant>
        <vt:i4>0</vt:i4>
      </vt:variant>
      <vt:variant>
        <vt:i4>5</vt:i4>
      </vt:variant>
      <vt:variant>
        <vt:lpwstr/>
      </vt:variant>
      <vt:variant>
        <vt:lpwstr>_Toc225862111</vt:lpwstr>
      </vt:variant>
      <vt:variant>
        <vt:i4>1966128</vt:i4>
      </vt:variant>
      <vt:variant>
        <vt:i4>146</vt:i4>
      </vt:variant>
      <vt:variant>
        <vt:i4>0</vt:i4>
      </vt:variant>
      <vt:variant>
        <vt:i4>5</vt:i4>
      </vt:variant>
      <vt:variant>
        <vt:lpwstr/>
      </vt:variant>
      <vt:variant>
        <vt:lpwstr>_Toc225862110</vt:lpwstr>
      </vt:variant>
      <vt:variant>
        <vt:i4>2031664</vt:i4>
      </vt:variant>
      <vt:variant>
        <vt:i4>140</vt:i4>
      </vt:variant>
      <vt:variant>
        <vt:i4>0</vt:i4>
      </vt:variant>
      <vt:variant>
        <vt:i4>5</vt:i4>
      </vt:variant>
      <vt:variant>
        <vt:lpwstr/>
      </vt:variant>
      <vt:variant>
        <vt:lpwstr>_Toc225862109</vt:lpwstr>
      </vt:variant>
      <vt:variant>
        <vt:i4>2031664</vt:i4>
      </vt:variant>
      <vt:variant>
        <vt:i4>134</vt:i4>
      </vt:variant>
      <vt:variant>
        <vt:i4>0</vt:i4>
      </vt:variant>
      <vt:variant>
        <vt:i4>5</vt:i4>
      </vt:variant>
      <vt:variant>
        <vt:lpwstr/>
      </vt:variant>
      <vt:variant>
        <vt:lpwstr>_Toc225862108</vt:lpwstr>
      </vt:variant>
      <vt:variant>
        <vt:i4>2031664</vt:i4>
      </vt:variant>
      <vt:variant>
        <vt:i4>128</vt:i4>
      </vt:variant>
      <vt:variant>
        <vt:i4>0</vt:i4>
      </vt:variant>
      <vt:variant>
        <vt:i4>5</vt:i4>
      </vt:variant>
      <vt:variant>
        <vt:lpwstr/>
      </vt:variant>
      <vt:variant>
        <vt:lpwstr>_Toc225862107</vt:lpwstr>
      </vt:variant>
      <vt:variant>
        <vt:i4>2031664</vt:i4>
      </vt:variant>
      <vt:variant>
        <vt:i4>122</vt:i4>
      </vt:variant>
      <vt:variant>
        <vt:i4>0</vt:i4>
      </vt:variant>
      <vt:variant>
        <vt:i4>5</vt:i4>
      </vt:variant>
      <vt:variant>
        <vt:lpwstr/>
      </vt:variant>
      <vt:variant>
        <vt:lpwstr>_Toc225862106</vt:lpwstr>
      </vt:variant>
      <vt:variant>
        <vt:i4>2031664</vt:i4>
      </vt:variant>
      <vt:variant>
        <vt:i4>116</vt:i4>
      </vt:variant>
      <vt:variant>
        <vt:i4>0</vt:i4>
      </vt:variant>
      <vt:variant>
        <vt:i4>5</vt:i4>
      </vt:variant>
      <vt:variant>
        <vt:lpwstr/>
      </vt:variant>
      <vt:variant>
        <vt:lpwstr>_Toc225862105</vt:lpwstr>
      </vt:variant>
      <vt:variant>
        <vt:i4>2031664</vt:i4>
      </vt:variant>
      <vt:variant>
        <vt:i4>110</vt:i4>
      </vt:variant>
      <vt:variant>
        <vt:i4>0</vt:i4>
      </vt:variant>
      <vt:variant>
        <vt:i4>5</vt:i4>
      </vt:variant>
      <vt:variant>
        <vt:lpwstr/>
      </vt:variant>
      <vt:variant>
        <vt:lpwstr>_Toc225862104</vt:lpwstr>
      </vt:variant>
      <vt:variant>
        <vt:i4>2031664</vt:i4>
      </vt:variant>
      <vt:variant>
        <vt:i4>104</vt:i4>
      </vt:variant>
      <vt:variant>
        <vt:i4>0</vt:i4>
      </vt:variant>
      <vt:variant>
        <vt:i4>5</vt:i4>
      </vt:variant>
      <vt:variant>
        <vt:lpwstr/>
      </vt:variant>
      <vt:variant>
        <vt:lpwstr>_Toc225862103</vt:lpwstr>
      </vt:variant>
      <vt:variant>
        <vt:i4>2031664</vt:i4>
      </vt:variant>
      <vt:variant>
        <vt:i4>98</vt:i4>
      </vt:variant>
      <vt:variant>
        <vt:i4>0</vt:i4>
      </vt:variant>
      <vt:variant>
        <vt:i4>5</vt:i4>
      </vt:variant>
      <vt:variant>
        <vt:lpwstr/>
      </vt:variant>
      <vt:variant>
        <vt:lpwstr>_Toc225862102</vt:lpwstr>
      </vt:variant>
      <vt:variant>
        <vt:i4>2031664</vt:i4>
      </vt:variant>
      <vt:variant>
        <vt:i4>92</vt:i4>
      </vt:variant>
      <vt:variant>
        <vt:i4>0</vt:i4>
      </vt:variant>
      <vt:variant>
        <vt:i4>5</vt:i4>
      </vt:variant>
      <vt:variant>
        <vt:lpwstr/>
      </vt:variant>
      <vt:variant>
        <vt:lpwstr>_Toc225862101</vt:lpwstr>
      </vt:variant>
      <vt:variant>
        <vt:i4>2031664</vt:i4>
      </vt:variant>
      <vt:variant>
        <vt:i4>86</vt:i4>
      </vt:variant>
      <vt:variant>
        <vt:i4>0</vt:i4>
      </vt:variant>
      <vt:variant>
        <vt:i4>5</vt:i4>
      </vt:variant>
      <vt:variant>
        <vt:lpwstr/>
      </vt:variant>
      <vt:variant>
        <vt:lpwstr>_Toc225862100</vt:lpwstr>
      </vt:variant>
      <vt:variant>
        <vt:i4>1441841</vt:i4>
      </vt:variant>
      <vt:variant>
        <vt:i4>80</vt:i4>
      </vt:variant>
      <vt:variant>
        <vt:i4>0</vt:i4>
      </vt:variant>
      <vt:variant>
        <vt:i4>5</vt:i4>
      </vt:variant>
      <vt:variant>
        <vt:lpwstr/>
      </vt:variant>
      <vt:variant>
        <vt:lpwstr>_Toc225862099</vt:lpwstr>
      </vt:variant>
      <vt:variant>
        <vt:i4>1441841</vt:i4>
      </vt:variant>
      <vt:variant>
        <vt:i4>74</vt:i4>
      </vt:variant>
      <vt:variant>
        <vt:i4>0</vt:i4>
      </vt:variant>
      <vt:variant>
        <vt:i4>5</vt:i4>
      </vt:variant>
      <vt:variant>
        <vt:lpwstr/>
      </vt:variant>
      <vt:variant>
        <vt:lpwstr>_Toc225862098</vt:lpwstr>
      </vt:variant>
      <vt:variant>
        <vt:i4>1441841</vt:i4>
      </vt:variant>
      <vt:variant>
        <vt:i4>68</vt:i4>
      </vt:variant>
      <vt:variant>
        <vt:i4>0</vt:i4>
      </vt:variant>
      <vt:variant>
        <vt:i4>5</vt:i4>
      </vt:variant>
      <vt:variant>
        <vt:lpwstr/>
      </vt:variant>
      <vt:variant>
        <vt:lpwstr>_Toc225862097</vt:lpwstr>
      </vt:variant>
      <vt:variant>
        <vt:i4>1441841</vt:i4>
      </vt:variant>
      <vt:variant>
        <vt:i4>62</vt:i4>
      </vt:variant>
      <vt:variant>
        <vt:i4>0</vt:i4>
      </vt:variant>
      <vt:variant>
        <vt:i4>5</vt:i4>
      </vt:variant>
      <vt:variant>
        <vt:lpwstr/>
      </vt:variant>
      <vt:variant>
        <vt:lpwstr>_Toc225862096</vt:lpwstr>
      </vt:variant>
      <vt:variant>
        <vt:i4>1441841</vt:i4>
      </vt:variant>
      <vt:variant>
        <vt:i4>56</vt:i4>
      </vt:variant>
      <vt:variant>
        <vt:i4>0</vt:i4>
      </vt:variant>
      <vt:variant>
        <vt:i4>5</vt:i4>
      </vt:variant>
      <vt:variant>
        <vt:lpwstr/>
      </vt:variant>
      <vt:variant>
        <vt:lpwstr>_Toc225862095</vt:lpwstr>
      </vt:variant>
      <vt:variant>
        <vt:i4>1441841</vt:i4>
      </vt:variant>
      <vt:variant>
        <vt:i4>50</vt:i4>
      </vt:variant>
      <vt:variant>
        <vt:i4>0</vt:i4>
      </vt:variant>
      <vt:variant>
        <vt:i4>5</vt:i4>
      </vt:variant>
      <vt:variant>
        <vt:lpwstr/>
      </vt:variant>
      <vt:variant>
        <vt:lpwstr>_Toc225862094</vt:lpwstr>
      </vt:variant>
      <vt:variant>
        <vt:i4>1441841</vt:i4>
      </vt:variant>
      <vt:variant>
        <vt:i4>44</vt:i4>
      </vt:variant>
      <vt:variant>
        <vt:i4>0</vt:i4>
      </vt:variant>
      <vt:variant>
        <vt:i4>5</vt:i4>
      </vt:variant>
      <vt:variant>
        <vt:lpwstr/>
      </vt:variant>
      <vt:variant>
        <vt:lpwstr>_Toc225862093</vt:lpwstr>
      </vt:variant>
      <vt:variant>
        <vt:i4>1441841</vt:i4>
      </vt:variant>
      <vt:variant>
        <vt:i4>38</vt:i4>
      </vt:variant>
      <vt:variant>
        <vt:i4>0</vt:i4>
      </vt:variant>
      <vt:variant>
        <vt:i4>5</vt:i4>
      </vt:variant>
      <vt:variant>
        <vt:lpwstr/>
      </vt:variant>
      <vt:variant>
        <vt:lpwstr>_Toc225862092</vt:lpwstr>
      </vt:variant>
      <vt:variant>
        <vt:i4>1441841</vt:i4>
      </vt:variant>
      <vt:variant>
        <vt:i4>32</vt:i4>
      </vt:variant>
      <vt:variant>
        <vt:i4>0</vt:i4>
      </vt:variant>
      <vt:variant>
        <vt:i4>5</vt:i4>
      </vt:variant>
      <vt:variant>
        <vt:lpwstr/>
      </vt:variant>
      <vt:variant>
        <vt:lpwstr>_Toc225862091</vt:lpwstr>
      </vt:variant>
      <vt:variant>
        <vt:i4>1441841</vt:i4>
      </vt:variant>
      <vt:variant>
        <vt:i4>26</vt:i4>
      </vt:variant>
      <vt:variant>
        <vt:i4>0</vt:i4>
      </vt:variant>
      <vt:variant>
        <vt:i4>5</vt:i4>
      </vt:variant>
      <vt:variant>
        <vt:lpwstr/>
      </vt:variant>
      <vt:variant>
        <vt:lpwstr>_Toc225862090</vt:lpwstr>
      </vt:variant>
      <vt:variant>
        <vt:i4>1507377</vt:i4>
      </vt:variant>
      <vt:variant>
        <vt:i4>20</vt:i4>
      </vt:variant>
      <vt:variant>
        <vt:i4>0</vt:i4>
      </vt:variant>
      <vt:variant>
        <vt:i4>5</vt:i4>
      </vt:variant>
      <vt:variant>
        <vt:lpwstr/>
      </vt:variant>
      <vt:variant>
        <vt:lpwstr>_Toc225862089</vt:lpwstr>
      </vt:variant>
      <vt:variant>
        <vt:i4>1507377</vt:i4>
      </vt:variant>
      <vt:variant>
        <vt:i4>14</vt:i4>
      </vt:variant>
      <vt:variant>
        <vt:i4>0</vt:i4>
      </vt:variant>
      <vt:variant>
        <vt:i4>5</vt:i4>
      </vt:variant>
      <vt:variant>
        <vt:lpwstr/>
      </vt:variant>
      <vt:variant>
        <vt:lpwstr>_Toc225862088</vt:lpwstr>
      </vt:variant>
      <vt:variant>
        <vt:i4>1507377</vt:i4>
      </vt:variant>
      <vt:variant>
        <vt:i4>8</vt:i4>
      </vt:variant>
      <vt:variant>
        <vt:i4>0</vt:i4>
      </vt:variant>
      <vt:variant>
        <vt:i4>5</vt:i4>
      </vt:variant>
      <vt:variant>
        <vt:lpwstr/>
      </vt:variant>
      <vt:variant>
        <vt:lpwstr>_Toc225862087</vt:lpwstr>
      </vt:variant>
      <vt:variant>
        <vt:i4>1507377</vt:i4>
      </vt:variant>
      <vt:variant>
        <vt:i4>2</vt:i4>
      </vt:variant>
      <vt:variant>
        <vt:i4>0</vt:i4>
      </vt:variant>
      <vt:variant>
        <vt:i4>5</vt:i4>
      </vt:variant>
      <vt:variant>
        <vt:lpwstr/>
      </vt:variant>
      <vt:variant>
        <vt:lpwstr>_Toc225862086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Accessibility Competencies in the Workplace: A Culture Building Framework for Inclusive Workplaces</dc:title>
  <dc:subject>Accessibility and Inclusion</dc:subject>
  <dc:creator>AnaSofia.Barrows@cnib.ca;Michaela.Knot@cnib.ca;Kathy.Beitz@cnib.ca;Steven Woo</dc:creator>
  <cp:keywords>Accessibility and Inclusion; CNIB</cp:keywords>
  <dc:description/>
  <cp:lastModifiedBy>Josh Simpson</cp:lastModifiedBy>
  <cp:revision>571</cp:revision>
  <dcterms:created xsi:type="dcterms:W3CDTF">2026-01-22T15:51:00Z</dcterms:created>
  <dcterms:modified xsi:type="dcterms:W3CDTF">2026-10-30T20:24:00Z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0x01010052AA314AECE19848A0AB78B54DAF8E20</vt:lpwstr>
  </property>
</Properties>
</file>