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30F2C" w14:textId="08DDB423" w:rsidR="00C95F99" w:rsidRPr="00C95F99" w:rsidRDefault="001A3B2E" w:rsidP="00F0381D">
      <w:pPr>
        <w:pStyle w:val="Title"/>
      </w:pPr>
      <w:bookmarkStart w:id="0" w:name="_Toc228194263"/>
      <w:bookmarkStart w:id="1" w:name="_Toc228208280"/>
      <w:bookmarkStart w:id="2" w:name="_Toc669034839"/>
      <w:bookmarkStart w:id="3" w:name="_Toc1309167412"/>
      <w:bookmarkStart w:id="4" w:name="_Toc477189117"/>
      <w:bookmarkStart w:id="5" w:name="_Toc737621132"/>
      <w:bookmarkStart w:id="6" w:name="_Toc938459293"/>
      <w:bookmarkStart w:id="7" w:name="_Toc2109258401"/>
      <w:bookmarkStart w:id="8" w:name="_Toc2047763892"/>
      <w:bookmarkStart w:id="9" w:name="_Toc734643243"/>
      <w:bookmarkStart w:id="10" w:name="_Toc1731359893"/>
      <w:r w:rsidRPr="005F5B1E">
        <w:t>From Law to Lived Experience</w:t>
      </w:r>
      <w:r w:rsidR="00A45273" w:rsidRPr="005F5B1E">
        <w:t>:</w:t>
      </w:r>
      <w:bookmarkEnd w:id="0"/>
      <w:bookmarkEnd w:id="1"/>
      <w:r w:rsidR="00E336BD">
        <w:t xml:space="preserve"> </w:t>
      </w:r>
      <w:r w:rsidR="00E336BD" w:rsidRPr="00C95F99">
        <w:t xml:space="preserve">Guide Dog </w:t>
      </w:r>
    </w:p>
    <w:p w14:paraId="0FDBE442" w14:textId="345BDCAC" w:rsidR="00DF4013" w:rsidRPr="00C95F99" w:rsidRDefault="00B3162C" w:rsidP="00F0381D">
      <w:pPr>
        <w:pStyle w:val="Title"/>
      </w:pPr>
      <w:r>
        <w:rPr>
          <w:rFonts w:ascii="Stag Sans Book" w:hAnsi="Stag Sans Book"/>
          <w:noProof/>
        </w:rPr>
        <w:drawing>
          <wp:anchor distT="0" distB="0" distL="114300" distR="114300" simplePos="0" relativeHeight="251658240" behindDoc="1" locked="0" layoutInCell="1" allowOverlap="1" wp14:anchorId="0C0D8DA6" wp14:editId="1D0C48CF">
            <wp:simplePos x="0" y="0"/>
            <wp:positionH relativeFrom="column">
              <wp:posOffset>-914400</wp:posOffset>
            </wp:positionH>
            <wp:positionV relativeFrom="paragraph">
              <wp:posOffset>1223912</wp:posOffset>
            </wp:positionV>
            <wp:extent cx="8038453" cy="4871553"/>
            <wp:effectExtent l="0" t="0" r="1270"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046566" cy="4876469"/>
                    </a:xfrm>
                    <a:prstGeom prst="rect">
                      <a:avLst/>
                    </a:prstGeom>
                  </pic:spPr>
                </pic:pic>
              </a:graphicData>
            </a:graphic>
            <wp14:sizeRelH relativeFrom="margin">
              <wp14:pctWidth>0</wp14:pctWidth>
            </wp14:sizeRelH>
            <wp14:sizeRelV relativeFrom="margin">
              <wp14:pctHeight>0</wp14:pctHeight>
            </wp14:sizeRelV>
          </wp:anchor>
        </w:drawing>
      </w:r>
      <w:r w:rsidR="00E336BD" w:rsidRPr="00C95F99">
        <w:t>Access Barriers in Canada</w:t>
      </w:r>
      <w:r w:rsidR="008F15CF" w:rsidRPr="00C95F99">
        <w:t xml:space="preserve"> 2022</w:t>
      </w:r>
    </w:p>
    <w:p w14:paraId="02F6B91A" w14:textId="3C50CE2B" w:rsidR="00835DE7" w:rsidRDefault="009F01BF" w:rsidP="00A0787F">
      <w:pPr>
        <w:ind w:firstLine="0"/>
      </w:pPr>
      <w:r>
        <w:rPr>
          <w:noProof/>
        </w:rPr>
        <w:drawing>
          <wp:inline distT="0" distB="0" distL="0" distR="0" wp14:anchorId="12161F8D" wp14:editId="03020E95">
            <wp:extent cx="6846355" cy="3739486"/>
            <wp:effectExtent l="0" t="0" r="0" b="0"/>
            <wp:docPr id="1641696948" name="Picture 1" descr="A working professional with a guide dog  is trying to get a cab after a day at the conference at the Palais de Congres, in Montreal. She is waiting on the street somewhat annoyed as cabs drive by on a colourful nigh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96948" name="Picture 1" descr="A working professional with a guide dog  is trying to get a cab after a day at the conference at the Palais de Congres, in Montreal. She is waiting on the street somewhat annoyed as cabs drive by on a colourful night street. "/>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853771" cy="3743537"/>
                    </a:xfrm>
                    <a:prstGeom prst="rect">
                      <a:avLst/>
                    </a:prstGeom>
                    <a:noFill/>
                    <a:ln>
                      <a:noFill/>
                    </a:ln>
                  </pic:spPr>
                </pic:pic>
              </a:graphicData>
            </a:graphic>
          </wp:inline>
        </w:drawing>
      </w:r>
    </w:p>
    <w:p w14:paraId="0B85C82E" w14:textId="01C6E919" w:rsidR="00D1784E" w:rsidRPr="00A0787F" w:rsidRDefault="0053172F" w:rsidP="00F0381D">
      <w:pPr>
        <w:rPr>
          <w:b/>
          <w:bCs/>
        </w:rPr>
      </w:pPr>
      <w:r w:rsidRPr="00A0787F">
        <w:rPr>
          <w:b/>
          <w:bCs/>
        </w:rPr>
        <w:t>April 30th</w:t>
      </w:r>
      <w:r w:rsidR="00F62ECB" w:rsidRPr="00A0787F">
        <w:rPr>
          <w:b/>
          <w:bCs/>
        </w:rPr>
        <w:t>, 2026</w:t>
      </w:r>
    </w:p>
    <w:p w14:paraId="658ABF8B" w14:textId="77777777" w:rsidR="00D1784E" w:rsidRDefault="00D1784E" w:rsidP="00F0381D">
      <w:r>
        <w:br w:type="page"/>
      </w:r>
    </w:p>
    <w:p w14:paraId="5F3471E7" w14:textId="52DFD886" w:rsidR="005F5B1E" w:rsidRPr="006F1AA9" w:rsidRDefault="005F5B1E" w:rsidP="0055692A">
      <w:pPr>
        <w:pStyle w:val="Heading1"/>
      </w:pPr>
      <w:bookmarkStart w:id="11" w:name="_Toc228394672"/>
      <w:r w:rsidRPr="006F1AA9">
        <w:lastRenderedPageBreak/>
        <w:t>Front Matter</w:t>
      </w:r>
      <w:bookmarkEnd w:id="11"/>
    </w:p>
    <w:p w14:paraId="14FB1975" w14:textId="6A1645B6" w:rsidR="00D1784E" w:rsidRDefault="00D1784E" w:rsidP="00803D9D">
      <w:pPr>
        <w:pStyle w:val="Heading2"/>
      </w:pPr>
      <w:bookmarkStart w:id="12" w:name="_Toc228294092"/>
      <w:r w:rsidRPr="00F0381D">
        <w:t>Image Description:</w:t>
      </w:r>
      <w:bookmarkEnd w:id="12"/>
    </w:p>
    <w:p w14:paraId="5244565B" w14:textId="06FFC026" w:rsidR="002470AE" w:rsidRPr="002470AE" w:rsidRDefault="002470AE" w:rsidP="002470AE">
      <w:bookmarkStart w:id="13" w:name="_Toc228294093"/>
      <w:r w:rsidRPr="002470AE">
        <w:t xml:space="preserve">A professional woman in her mid-30s stands on a wet city street at night outside the Palais des </w:t>
      </w:r>
      <w:proofErr w:type="spellStart"/>
      <w:r w:rsidRPr="002470AE">
        <w:t>congrès</w:t>
      </w:r>
      <w:proofErr w:type="spellEnd"/>
      <w:r w:rsidRPr="002470AE">
        <w:t xml:space="preserve"> de Montréal, which glows with vibrant, multi-colored glass panels. She wears a navy blazer and a conference lanyard, looking visibly stressed as she holds a smartphone with wired earbuds while trying to hail a taxi. Beside her, a yellow guide dog in a specialized harness looks calmly toward the viewer. </w:t>
      </w:r>
      <w:r w:rsidR="0044624E">
        <w:t xml:space="preserve">Image generated with </w:t>
      </w:r>
      <w:r w:rsidR="00262CFB">
        <w:t xml:space="preserve">Gemini. </w:t>
      </w:r>
    </w:p>
    <w:p w14:paraId="54EE52EA" w14:textId="17491779" w:rsidR="00030CBC" w:rsidRDefault="00D1784E" w:rsidP="00803D9D">
      <w:pPr>
        <w:pStyle w:val="Heading2"/>
      </w:pPr>
      <w:r>
        <w:t>Authors:</w:t>
      </w:r>
      <w:bookmarkEnd w:id="13"/>
      <w:r>
        <w:t xml:space="preserve"> </w:t>
      </w:r>
    </w:p>
    <w:p w14:paraId="531D0D8B" w14:textId="4C14B6B5" w:rsidR="00794670" w:rsidRPr="00F0381D" w:rsidRDefault="0030178C" w:rsidP="00F0381D">
      <w:r>
        <w:t xml:space="preserve">Knot, </w:t>
      </w:r>
      <w:r w:rsidR="00312A86">
        <w:t>Michaela</w:t>
      </w:r>
      <w:r w:rsidR="006744A8">
        <w:t xml:space="preserve">; </w:t>
      </w:r>
      <w:r w:rsidR="00D1784E" w:rsidRPr="00F0381D">
        <w:t xml:space="preserve">Field, </w:t>
      </w:r>
      <w:r w:rsidR="00F0381D" w:rsidRPr="00F0381D">
        <w:t>Peter</w:t>
      </w:r>
      <w:r w:rsidR="00BD1330" w:rsidRPr="00F0381D">
        <w:t>;</w:t>
      </w:r>
      <w:r w:rsidR="00D1784E" w:rsidRPr="00F0381D">
        <w:t xml:space="preserve"> Bietz, Kathy</w:t>
      </w:r>
      <w:r w:rsidR="00BD1330" w:rsidRPr="00F0381D">
        <w:t xml:space="preserve">; and </w:t>
      </w:r>
      <w:r w:rsidR="00D83593" w:rsidRPr="00F0381D">
        <w:t>Hochbaum, Christine</w:t>
      </w:r>
      <w:bookmarkStart w:id="14" w:name="_Toc228194264"/>
      <w:bookmarkStart w:id="15" w:name="_Toc228208281"/>
      <w:bookmarkEnd w:id="2"/>
      <w:bookmarkEnd w:id="3"/>
      <w:bookmarkEnd w:id="4"/>
      <w:bookmarkEnd w:id="5"/>
      <w:bookmarkEnd w:id="6"/>
      <w:bookmarkEnd w:id="7"/>
      <w:bookmarkEnd w:id="8"/>
      <w:bookmarkEnd w:id="9"/>
      <w:bookmarkEnd w:id="10"/>
      <w:r w:rsidR="00BD1330" w:rsidRPr="00F0381D">
        <w:t>, CNIB Research.</w:t>
      </w:r>
    </w:p>
    <w:p w14:paraId="1DD584FF" w14:textId="41F1F8E5" w:rsidR="00347947" w:rsidRDefault="00D83593" w:rsidP="00803D9D">
      <w:pPr>
        <w:pStyle w:val="Heading2"/>
      </w:pPr>
      <w:bookmarkStart w:id="16" w:name="_Toc228294094"/>
      <w:r>
        <w:t>Citation:</w:t>
      </w:r>
      <w:bookmarkEnd w:id="16"/>
    </w:p>
    <w:p w14:paraId="3043607A" w14:textId="4C79ACAB" w:rsidR="00D83593" w:rsidRDefault="005302AD" w:rsidP="00F0381D">
      <w:pPr>
        <w:rPr>
          <w:b/>
          <w:bCs/>
        </w:rPr>
      </w:pPr>
      <w:r>
        <w:t>Knot et al</w:t>
      </w:r>
      <w:r w:rsidR="00D83593" w:rsidRPr="00347947">
        <w:t xml:space="preserve">. (2026). </w:t>
      </w:r>
      <w:r w:rsidR="00347947" w:rsidRPr="00823966">
        <w:rPr>
          <w:i/>
          <w:iCs/>
        </w:rPr>
        <w:t>From Law to Lived Experience: Guide Dog Access Barriers in Canada</w:t>
      </w:r>
      <w:r w:rsidR="00347947" w:rsidRPr="00347947">
        <w:t>. Canadian National Institute for the Blind (CNIB), CNIB Research.</w:t>
      </w:r>
      <w:r w:rsidR="00347947">
        <w:rPr>
          <w:b/>
          <w:bCs/>
        </w:rPr>
        <w:t xml:space="preserve"> </w:t>
      </w:r>
      <w:r w:rsidR="0053172F" w:rsidRPr="0053172F">
        <w:t>Toronto,</w:t>
      </w:r>
      <w:r w:rsidR="00C25D3C">
        <w:t xml:space="preserve"> </w:t>
      </w:r>
      <w:r w:rsidR="00D33D9B">
        <w:t xml:space="preserve">Ontario, </w:t>
      </w:r>
      <w:r w:rsidR="00D33D9B" w:rsidRPr="0053172F">
        <w:t>Canada</w:t>
      </w:r>
      <w:r w:rsidR="0053172F" w:rsidRPr="0053172F">
        <w:t>.</w:t>
      </w:r>
      <w:r w:rsidR="0053172F">
        <w:rPr>
          <w:b/>
          <w:bCs/>
        </w:rPr>
        <w:t xml:space="preserve"> </w:t>
      </w:r>
    </w:p>
    <w:p w14:paraId="5FAE3AE7" w14:textId="02AD0569" w:rsidR="00823966" w:rsidRPr="00C627E9" w:rsidRDefault="00823966" w:rsidP="00803D9D">
      <w:pPr>
        <w:pStyle w:val="Heading2"/>
        <w:rPr>
          <w:rStyle w:val="Strong"/>
          <w:b/>
          <w:bCs w:val="0"/>
          <w:lang w:eastAsia="en-CA"/>
        </w:rPr>
      </w:pPr>
      <w:bookmarkStart w:id="17" w:name="_Toc228294095"/>
      <w:r w:rsidRPr="00C627E9">
        <w:rPr>
          <w:rStyle w:val="Strong"/>
          <w:b/>
          <w:bCs w:val="0"/>
        </w:rPr>
        <w:lastRenderedPageBreak/>
        <w:t>Disclaimer</w:t>
      </w:r>
      <w:bookmarkEnd w:id="17"/>
    </w:p>
    <w:p w14:paraId="0ED33693" w14:textId="4290E4C6" w:rsidR="00610915" w:rsidRDefault="00610915" w:rsidP="00BD7887">
      <w:pPr>
        <w:rPr>
          <w:lang w:eastAsia="en-CA"/>
        </w:rPr>
      </w:pPr>
      <w:bookmarkStart w:id="18" w:name="_Toc1982426544"/>
      <w:bookmarkStart w:id="19" w:name="_Toc937155274"/>
      <w:bookmarkStart w:id="20" w:name="_Toc683731563"/>
      <w:bookmarkStart w:id="21" w:name="_Toc1847407340"/>
      <w:bookmarkStart w:id="22" w:name="_Toc1710826477"/>
      <w:bookmarkStart w:id="23" w:name="_Toc796819055"/>
      <w:bookmarkStart w:id="24" w:name="_Toc1699265186"/>
      <w:bookmarkStart w:id="25" w:name="_Toc584048599"/>
      <w:bookmarkStart w:id="26" w:name="_Toc1478149860"/>
      <w:bookmarkStart w:id="27" w:name="_Toc228294096"/>
      <w:r>
        <w:t>CNIB Research prepared this report to support dissemination and findings from the original unpublished Guide Dog Access in Canada report. This report preserves the study’s intent and key evidence alongside providing analytical syntheses</w:t>
      </w:r>
      <w:r w:rsidR="006744A8">
        <w:t xml:space="preserve">. </w:t>
      </w:r>
      <w:r>
        <w:t>The team relied on AI tools, such as Copilot and Elicit AI to summarize original draft</w:t>
      </w:r>
      <w:r w:rsidR="001561E1">
        <w:t xml:space="preserve"> report</w:t>
      </w:r>
      <w:r>
        <w:t xml:space="preserve">, generate tables, literature syntheses, create images, </w:t>
      </w:r>
      <w:r w:rsidR="001561E1">
        <w:t xml:space="preserve">the </w:t>
      </w:r>
      <w:r>
        <w:t>proposed standard, alongside editing. The report was reviewed with human input. For further information please contact: research@cnib.ca</w:t>
      </w:r>
    </w:p>
    <w:p w14:paraId="0DDDA715" w14:textId="42B54903" w:rsidR="00823966" w:rsidRPr="00C627E9" w:rsidRDefault="00823966" w:rsidP="00803D9D">
      <w:pPr>
        <w:pStyle w:val="Heading2"/>
        <w:rPr>
          <w:rStyle w:val="Strong"/>
          <w:b/>
          <w:bCs w:val="0"/>
        </w:rPr>
      </w:pPr>
      <w:r w:rsidRPr="00C627E9">
        <w:rPr>
          <w:rStyle w:val="Strong"/>
          <w:b/>
          <w:bCs w:val="0"/>
        </w:rPr>
        <w:t>Funding acknowledgement</w:t>
      </w:r>
      <w:bookmarkEnd w:id="18"/>
      <w:bookmarkEnd w:id="19"/>
      <w:bookmarkEnd w:id="20"/>
      <w:bookmarkEnd w:id="21"/>
      <w:bookmarkEnd w:id="22"/>
      <w:bookmarkEnd w:id="23"/>
      <w:bookmarkEnd w:id="24"/>
      <w:bookmarkEnd w:id="25"/>
      <w:bookmarkEnd w:id="26"/>
      <w:bookmarkEnd w:id="27"/>
    </w:p>
    <w:p w14:paraId="0B5F8E73" w14:textId="77777777" w:rsidR="00823966" w:rsidRDefault="00823966" w:rsidP="00F0381D">
      <w:r>
        <w:t>This project was funded by Accessibility Standards Canada (ASC). The analyses, interpretations, and conclusions expressed in this research report are those of the authors and do not necessarily reflect the views of Accessibility Standards Canada.</w:t>
      </w:r>
    </w:p>
    <w:p w14:paraId="002BDEEB" w14:textId="3FBED6F4" w:rsidR="0053172F" w:rsidRDefault="00DC5A93" w:rsidP="00803D9D">
      <w:pPr>
        <w:pStyle w:val="Heading2"/>
      </w:pPr>
      <w:bookmarkStart w:id="28" w:name="_Toc228294097"/>
      <w:r>
        <w:t xml:space="preserve">Project </w:t>
      </w:r>
      <w:r w:rsidR="0053172F">
        <w:t>Acknowledgements:</w:t>
      </w:r>
      <w:bookmarkEnd w:id="28"/>
    </w:p>
    <w:p w14:paraId="237C4CEC" w14:textId="5C9454AA" w:rsidR="00030CBC" w:rsidRDefault="00DA7CD6" w:rsidP="00BD7887">
      <w:r>
        <w:t xml:space="preserve">The CNIB Research Team would like to acknowledge the many contributions that a variety of individuals and stakeholders have made to </w:t>
      </w:r>
      <w:r>
        <w:lastRenderedPageBreak/>
        <w:t xml:space="preserve">this report. </w:t>
      </w:r>
      <w:r w:rsidR="00030CBC">
        <w:t xml:space="preserve">We would like to thank the original </w:t>
      </w:r>
      <w:r w:rsidRPr="00BD5F2D">
        <w:rPr>
          <w:spacing w:val="4"/>
        </w:rPr>
        <w:t xml:space="preserve">project’s </w:t>
      </w:r>
      <w:r w:rsidR="00030CBC">
        <w:rPr>
          <w:spacing w:val="4"/>
        </w:rPr>
        <w:t>e</w:t>
      </w:r>
      <w:r w:rsidRPr="00BD5F2D">
        <w:rPr>
          <w:spacing w:val="4"/>
        </w:rPr>
        <w:t xml:space="preserve">ditorial </w:t>
      </w:r>
      <w:r w:rsidR="00030CBC">
        <w:rPr>
          <w:spacing w:val="4"/>
        </w:rPr>
        <w:t>t</w:t>
      </w:r>
      <w:r w:rsidRPr="00BD5F2D">
        <w:rPr>
          <w:spacing w:val="4"/>
        </w:rPr>
        <w:t>eam consisting of Mahadeo Sukhai, Michael Trolio, and</w:t>
      </w:r>
      <w:r>
        <w:t xml:space="preserve"> Peter Field. In addition, contributions were made by </w:t>
      </w:r>
      <w:r w:rsidR="005020CE">
        <w:t>t</w:t>
      </w:r>
      <w:r>
        <w:t xml:space="preserve">eam members acting as co-authors, including Christine Hochbaum, Naveen Benjamin, Lauren Pardy, Michaela Knot, and Victoria Turnbull. </w:t>
      </w:r>
    </w:p>
    <w:p w14:paraId="3DE34D72" w14:textId="7CD571D1" w:rsidR="00DA7CD6" w:rsidRDefault="00DA7CD6" w:rsidP="00BD7887">
      <w:pPr>
        <w:rPr>
          <w:spacing w:val="4"/>
        </w:rPr>
      </w:pPr>
      <w:r>
        <w:t xml:space="preserve">As with many large projects of this kind, individuals were invaluable in filling in </w:t>
      </w:r>
      <w:proofErr w:type="gramStart"/>
      <w:r>
        <w:t>a number of</w:t>
      </w:r>
      <w:proofErr w:type="gramEnd"/>
      <w:r>
        <w:t xml:space="preserve"> key roles, such as co-design facilitators; </w:t>
      </w:r>
      <w:r w:rsidRPr="00BD5F2D">
        <w:rPr>
          <w:spacing w:val="4"/>
        </w:rPr>
        <w:t xml:space="preserve">these include Brayden Smith, Ainsley Latour, Kathy Beitz, Sheetal Kochhar, Tosin Ogedengbe, and Ola Olatona. </w:t>
      </w:r>
    </w:p>
    <w:p w14:paraId="6A3B7538" w14:textId="77777777" w:rsidR="007B2DC4" w:rsidRDefault="007B2DC4" w:rsidP="00BD7887">
      <w:pPr>
        <w:rPr>
          <w:lang w:eastAsia="en-CA"/>
        </w:rPr>
      </w:pPr>
      <w:r>
        <w:rPr>
          <w:spacing w:val="4"/>
          <w:lang w:val="en-US"/>
        </w:rPr>
        <w:t>We appreciate the invaluable assistance the project received</w:t>
      </w:r>
      <w:r>
        <w:rPr>
          <w:lang w:val="en-US"/>
        </w:rPr>
        <w:t xml:space="preserve"> in organizing the 2022 AdvoCamp Research Day which featured the project’s first co-design session. Helping us out with this were Larissa Proctor, Ashley Nemeth, and Tracy Garbutt from CNIB as well as Chelsea Magee, Kristen Black, Lauren Butler, and Rob Kramer of the CNIB Guide Dog Program. </w:t>
      </w:r>
    </w:p>
    <w:p w14:paraId="3A829036" w14:textId="11F2EAFD" w:rsidR="00DA7CD6" w:rsidRDefault="003C2587" w:rsidP="00262CFB">
      <w:pPr>
        <w:rPr>
          <w:lang w:eastAsia="en-CA"/>
        </w:rPr>
      </w:pPr>
      <w:r>
        <w:rPr>
          <w:lang w:val="en-US"/>
        </w:rPr>
        <w:t xml:space="preserve">We also want to thank some of the subject matter experts we spoke to along the way, including Daryl Stubel of the Province of Saskatchewan, and Dr. Sally Lindsay of the TRAIL lab at the Holland Bloorview Centre. The project also </w:t>
      </w:r>
      <w:r>
        <w:rPr>
          <w:spacing w:val="-2"/>
          <w:lang w:val="en-US"/>
        </w:rPr>
        <w:t>received significant support from Jim Ranson and Lisa Byers of Ipsos Reid. Finally,</w:t>
      </w:r>
      <w:r>
        <w:rPr>
          <w:lang w:val="en-US"/>
        </w:rPr>
        <w:t xml:space="preserve"> we are particularly indebted to the project’s Guide Dog </w:t>
      </w:r>
      <w:r>
        <w:rPr>
          <w:lang w:val="en-US"/>
        </w:rPr>
        <w:lastRenderedPageBreak/>
        <w:t>Advisory Committee, and all the research participants who provided their views and experiences in focus groups, co-design sessions, and in responding to the 2022 Guide Dog Handlers Experiences survey. Thank you everyone for contributing to this important work towards improving guide dog access in Canada.</w:t>
      </w:r>
    </w:p>
    <w:p w14:paraId="4672B6DA" w14:textId="77777777" w:rsidR="00262CFB" w:rsidRDefault="00262CFB">
      <w:pPr>
        <w:spacing w:line="259" w:lineRule="auto"/>
        <w:ind w:firstLine="0"/>
        <w:rPr>
          <w:rFonts w:eastAsiaTheme="majorEastAsia" w:cstheme="majorBidi"/>
          <w:b/>
          <w:bCs/>
          <w:sz w:val="44"/>
          <w:szCs w:val="44"/>
        </w:rPr>
      </w:pPr>
      <w:bookmarkStart w:id="29" w:name="_Toc228295099"/>
      <w:bookmarkStart w:id="30" w:name="_Toc228386811"/>
      <w:bookmarkStart w:id="31" w:name="_Toc228389168"/>
      <w:r>
        <w:br w:type="page"/>
      </w:r>
    </w:p>
    <w:p w14:paraId="3C182D47" w14:textId="2E351BA8" w:rsidR="007777B0" w:rsidRDefault="00BB468D" w:rsidP="0055692A">
      <w:pPr>
        <w:pStyle w:val="Heading1"/>
        <w:rPr>
          <w:lang w:eastAsia="en-CA"/>
        </w:rPr>
      </w:pPr>
      <w:bookmarkStart w:id="32" w:name="_Toc228394673"/>
      <w:r>
        <w:lastRenderedPageBreak/>
        <w:t xml:space="preserve">Table of </w:t>
      </w:r>
      <w:r w:rsidR="00F32C55">
        <w:t>Contents</w:t>
      </w:r>
      <w:bookmarkEnd w:id="14"/>
      <w:bookmarkEnd w:id="15"/>
      <w:bookmarkEnd w:id="29"/>
      <w:bookmarkEnd w:id="30"/>
      <w:bookmarkEnd w:id="31"/>
      <w:bookmarkEnd w:id="32"/>
    </w:p>
    <w:p w14:paraId="4E4DC2CD" w14:textId="2187CD9A" w:rsidR="00262CFB" w:rsidRDefault="0016196F">
      <w:pPr>
        <w:pStyle w:val="TOC1"/>
        <w:tabs>
          <w:tab w:val="right" w:leader="dot" w:pos="9350"/>
        </w:tabs>
        <w:rPr>
          <w:rFonts w:asciiTheme="minorHAnsi" w:eastAsiaTheme="minorEastAsia" w:hAnsiTheme="minorHAnsi" w:cstheme="minorBidi"/>
          <w:b w:val="0"/>
          <w:noProof/>
        </w:rPr>
      </w:pPr>
      <w:r>
        <w:rPr>
          <w:color w:val="467886"/>
          <w:u w:val="single"/>
        </w:rPr>
        <w:fldChar w:fldCharType="begin"/>
      </w:r>
      <w:r>
        <w:rPr>
          <w:color w:val="467886"/>
          <w:u w:val="single"/>
        </w:rPr>
        <w:instrText xml:space="preserve"> TOC \o "1-1" \h \z \u </w:instrText>
      </w:r>
      <w:r>
        <w:rPr>
          <w:color w:val="467886"/>
          <w:u w:val="single"/>
        </w:rPr>
        <w:fldChar w:fldCharType="separate"/>
      </w:r>
      <w:hyperlink w:anchor="_Toc228394672" w:history="1">
        <w:r w:rsidR="00262CFB" w:rsidRPr="00811602">
          <w:rPr>
            <w:rStyle w:val="Hyperlink"/>
            <w:noProof/>
          </w:rPr>
          <w:t>Front Matter</w:t>
        </w:r>
        <w:r w:rsidR="00262CFB">
          <w:rPr>
            <w:noProof/>
            <w:webHidden/>
          </w:rPr>
          <w:tab/>
        </w:r>
        <w:r w:rsidR="00262CFB">
          <w:rPr>
            <w:noProof/>
            <w:webHidden/>
          </w:rPr>
          <w:fldChar w:fldCharType="begin"/>
        </w:r>
        <w:r w:rsidR="00262CFB">
          <w:rPr>
            <w:noProof/>
            <w:webHidden/>
          </w:rPr>
          <w:instrText xml:space="preserve"> PAGEREF _Toc228394672 \h </w:instrText>
        </w:r>
        <w:r w:rsidR="00262CFB">
          <w:rPr>
            <w:noProof/>
            <w:webHidden/>
          </w:rPr>
        </w:r>
        <w:r w:rsidR="00262CFB">
          <w:rPr>
            <w:noProof/>
            <w:webHidden/>
          </w:rPr>
          <w:fldChar w:fldCharType="separate"/>
        </w:r>
        <w:r w:rsidR="00262CFB">
          <w:rPr>
            <w:noProof/>
            <w:webHidden/>
          </w:rPr>
          <w:t>2</w:t>
        </w:r>
        <w:r w:rsidR="00262CFB">
          <w:rPr>
            <w:noProof/>
            <w:webHidden/>
          </w:rPr>
          <w:fldChar w:fldCharType="end"/>
        </w:r>
      </w:hyperlink>
    </w:p>
    <w:p w14:paraId="12E02ABD" w14:textId="09D50F72" w:rsidR="00262CFB" w:rsidRDefault="00262CFB">
      <w:pPr>
        <w:pStyle w:val="TOC1"/>
        <w:tabs>
          <w:tab w:val="right" w:leader="dot" w:pos="9350"/>
        </w:tabs>
        <w:rPr>
          <w:rFonts w:asciiTheme="minorHAnsi" w:eastAsiaTheme="minorEastAsia" w:hAnsiTheme="minorHAnsi" w:cstheme="minorBidi"/>
          <w:b w:val="0"/>
          <w:noProof/>
        </w:rPr>
      </w:pPr>
      <w:hyperlink w:anchor="_Toc228394674" w:history="1">
        <w:r w:rsidRPr="00811602">
          <w:rPr>
            <w:rStyle w:val="Hyperlink"/>
            <w:noProof/>
          </w:rPr>
          <w:t>List of Abbreviations</w:t>
        </w:r>
        <w:r>
          <w:rPr>
            <w:noProof/>
            <w:webHidden/>
          </w:rPr>
          <w:tab/>
        </w:r>
        <w:r>
          <w:rPr>
            <w:noProof/>
            <w:webHidden/>
          </w:rPr>
          <w:fldChar w:fldCharType="begin"/>
        </w:r>
        <w:r>
          <w:rPr>
            <w:noProof/>
            <w:webHidden/>
          </w:rPr>
          <w:instrText xml:space="preserve"> PAGEREF _Toc228394674 \h </w:instrText>
        </w:r>
        <w:r>
          <w:rPr>
            <w:noProof/>
            <w:webHidden/>
          </w:rPr>
        </w:r>
        <w:r>
          <w:rPr>
            <w:noProof/>
            <w:webHidden/>
          </w:rPr>
          <w:fldChar w:fldCharType="separate"/>
        </w:r>
        <w:r>
          <w:rPr>
            <w:noProof/>
            <w:webHidden/>
          </w:rPr>
          <w:t>8</w:t>
        </w:r>
        <w:r>
          <w:rPr>
            <w:noProof/>
            <w:webHidden/>
          </w:rPr>
          <w:fldChar w:fldCharType="end"/>
        </w:r>
      </w:hyperlink>
    </w:p>
    <w:p w14:paraId="3CD447B0" w14:textId="172BDE92" w:rsidR="00262CFB" w:rsidRDefault="00262CFB">
      <w:pPr>
        <w:pStyle w:val="TOC1"/>
        <w:tabs>
          <w:tab w:val="right" w:leader="dot" w:pos="9350"/>
        </w:tabs>
        <w:rPr>
          <w:rFonts w:asciiTheme="minorHAnsi" w:eastAsiaTheme="minorEastAsia" w:hAnsiTheme="minorHAnsi" w:cstheme="minorBidi"/>
          <w:b w:val="0"/>
          <w:noProof/>
        </w:rPr>
      </w:pPr>
      <w:hyperlink w:anchor="_Toc228394675" w:history="1">
        <w:r w:rsidRPr="00811602">
          <w:rPr>
            <w:rStyle w:val="Hyperlink"/>
            <w:noProof/>
          </w:rPr>
          <w:t>List of Figures</w:t>
        </w:r>
        <w:r>
          <w:rPr>
            <w:noProof/>
            <w:webHidden/>
          </w:rPr>
          <w:tab/>
        </w:r>
        <w:r>
          <w:rPr>
            <w:noProof/>
            <w:webHidden/>
          </w:rPr>
          <w:fldChar w:fldCharType="begin"/>
        </w:r>
        <w:r>
          <w:rPr>
            <w:noProof/>
            <w:webHidden/>
          </w:rPr>
          <w:instrText xml:space="preserve"> PAGEREF _Toc228394675 \h </w:instrText>
        </w:r>
        <w:r>
          <w:rPr>
            <w:noProof/>
            <w:webHidden/>
          </w:rPr>
        </w:r>
        <w:r>
          <w:rPr>
            <w:noProof/>
            <w:webHidden/>
          </w:rPr>
          <w:fldChar w:fldCharType="separate"/>
        </w:r>
        <w:r>
          <w:rPr>
            <w:noProof/>
            <w:webHidden/>
          </w:rPr>
          <w:t>9</w:t>
        </w:r>
        <w:r>
          <w:rPr>
            <w:noProof/>
            <w:webHidden/>
          </w:rPr>
          <w:fldChar w:fldCharType="end"/>
        </w:r>
      </w:hyperlink>
    </w:p>
    <w:p w14:paraId="36CEF92A" w14:textId="5069DB54" w:rsidR="00262CFB" w:rsidRDefault="00262CFB">
      <w:pPr>
        <w:pStyle w:val="TOC1"/>
        <w:tabs>
          <w:tab w:val="right" w:leader="dot" w:pos="9350"/>
        </w:tabs>
        <w:rPr>
          <w:rFonts w:asciiTheme="minorHAnsi" w:eastAsiaTheme="minorEastAsia" w:hAnsiTheme="minorHAnsi" w:cstheme="minorBidi"/>
          <w:b w:val="0"/>
          <w:noProof/>
        </w:rPr>
      </w:pPr>
      <w:hyperlink w:anchor="_Toc228394676" w:history="1">
        <w:r w:rsidRPr="00811602">
          <w:rPr>
            <w:rStyle w:val="Hyperlink"/>
            <w:noProof/>
          </w:rPr>
          <w:t>List of Tables</w:t>
        </w:r>
        <w:r>
          <w:rPr>
            <w:noProof/>
            <w:webHidden/>
          </w:rPr>
          <w:tab/>
        </w:r>
        <w:r>
          <w:rPr>
            <w:noProof/>
            <w:webHidden/>
          </w:rPr>
          <w:fldChar w:fldCharType="begin"/>
        </w:r>
        <w:r>
          <w:rPr>
            <w:noProof/>
            <w:webHidden/>
          </w:rPr>
          <w:instrText xml:space="preserve"> PAGEREF _Toc228394676 \h </w:instrText>
        </w:r>
        <w:r>
          <w:rPr>
            <w:noProof/>
            <w:webHidden/>
          </w:rPr>
        </w:r>
        <w:r>
          <w:rPr>
            <w:noProof/>
            <w:webHidden/>
          </w:rPr>
          <w:fldChar w:fldCharType="separate"/>
        </w:r>
        <w:r>
          <w:rPr>
            <w:noProof/>
            <w:webHidden/>
          </w:rPr>
          <w:t>9</w:t>
        </w:r>
        <w:r>
          <w:rPr>
            <w:noProof/>
            <w:webHidden/>
          </w:rPr>
          <w:fldChar w:fldCharType="end"/>
        </w:r>
      </w:hyperlink>
    </w:p>
    <w:p w14:paraId="3D398C03" w14:textId="6B5EF9B9" w:rsidR="00262CFB" w:rsidRDefault="00262CFB">
      <w:pPr>
        <w:pStyle w:val="TOC1"/>
        <w:tabs>
          <w:tab w:val="right" w:leader="dot" w:pos="9350"/>
        </w:tabs>
        <w:rPr>
          <w:rFonts w:asciiTheme="minorHAnsi" w:eastAsiaTheme="minorEastAsia" w:hAnsiTheme="minorHAnsi" w:cstheme="minorBidi"/>
          <w:b w:val="0"/>
          <w:noProof/>
        </w:rPr>
      </w:pPr>
      <w:hyperlink w:anchor="_Toc228394677" w:history="1">
        <w:r w:rsidRPr="00811602">
          <w:rPr>
            <w:rStyle w:val="Hyperlink"/>
            <w:noProof/>
          </w:rPr>
          <w:t>Executive Summary</w:t>
        </w:r>
        <w:r>
          <w:rPr>
            <w:noProof/>
            <w:webHidden/>
          </w:rPr>
          <w:tab/>
        </w:r>
        <w:r>
          <w:rPr>
            <w:noProof/>
            <w:webHidden/>
          </w:rPr>
          <w:fldChar w:fldCharType="begin"/>
        </w:r>
        <w:r>
          <w:rPr>
            <w:noProof/>
            <w:webHidden/>
          </w:rPr>
          <w:instrText xml:space="preserve"> PAGEREF _Toc228394677 \h </w:instrText>
        </w:r>
        <w:r>
          <w:rPr>
            <w:noProof/>
            <w:webHidden/>
          </w:rPr>
        </w:r>
        <w:r>
          <w:rPr>
            <w:noProof/>
            <w:webHidden/>
          </w:rPr>
          <w:fldChar w:fldCharType="separate"/>
        </w:r>
        <w:r>
          <w:rPr>
            <w:noProof/>
            <w:webHidden/>
          </w:rPr>
          <w:t>11</w:t>
        </w:r>
        <w:r>
          <w:rPr>
            <w:noProof/>
            <w:webHidden/>
          </w:rPr>
          <w:fldChar w:fldCharType="end"/>
        </w:r>
      </w:hyperlink>
    </w:p>
    <w:p w14:paraId="63BD1B11" w14:textId="3725FF7F" w:rsidR="00262CFB" w:rsidRDefault="00262CFB">
      <w:pPr>
        <w:pStyle w:val="TOC1"/>
        <w:tabs>
          <w:tab w:val="right" w:leader="dot" w:pos="9350"/>
        </w:tabs>
        <w:rPr>
          <w:rFonts w:asciiTheme="minorHAnsi" w:eastAsiaTheme="minorEastAsia" w:hAnsiTheme="minorHAnsi" w:cstheme="minorBidi"/>
          <w:b w:val="0"/>
          <w:noProof/>
        </w:rPr>
      </w:pPr>
      <w:hyperlink w:anchor="_Toc228394678" w:history="1">
        <w:r w:rsidRPr="00811602">
          <w:rPr>
            <w:rStyle w:val="Hyperlink"/>
            <w:noProof/>
          </w:rPr>
          <w:t>1</w:t>
        </w:r>
        <w:r>
          <w:rPr>
            <w:rFonts w:asciiTheme="minorHAnsi" w:eastAsiaTheme="minorEastAsia" w:hAnsiTheme="minorHAnsi" w:cstheme="minorBidi"/>
            <w:b w:val="0"/>
            <w:noProof/>
          </w:rPr>
          <w:tab/>
        </w:r>
        <w:r w:rsidRPr="00811602">
          <w:rPr>
            <w:rStyle w:val="Hyperlink"/>
            <w:noProof/>
          </w:rPr>
          <w:t>Introduction</w:t>
        </w:r>
        <w:r>
          <w:rPr>
            <w:noProof/>
            <w:webHidden/>
          </w:rPr>
          <w:tab/>
        </w:r>
        <w:r>
          <w:rPr>
            <w:noProof/>
            <w:webHidden/>
          </w:rPr>
          <w:fldChar w:fldCharType="begin"/>
        </w:r>
        <w:r>
          <w:rPr>
            <w:noProof/>
            <w:webHidden/>
          </w:rPr>
          <w:instrText xml:space="preserve"> PAGEREF _Toc228394678 \h </w:instrText>
        </w:r>
        <w:r>
          <w:rPr>
            <w:noProof/>
            <w:webHidden/>
          </w:rPr>
        </w:r>
        <w:r>
          <w:rPr>
            <w:noProof/>
            <w:webHidden/>
          </w:rPr>
          <w:fldChar w:fldCharType="separate"/>
        </w:r>
        <w:r>
          <w:rPr>
            <w:noProof/>
            <w:webHidden/>
          </w:rPr>
          <w:t>18</w:t>
        </w:r>
        <w:r>
          <w:rPr>
            <w:noProof/>
            <w:webHidden/>
          </w:rPr>
          <w:fldChar w:fldCharType="end"/>
        </w:r>
      </w:hyperlink>
    </w:p>
    <w:p w14:paraId="68C43C0E" w14:textId="497F3C6F" w:rsidR="00262CFB" w:rsidRDefault="00262CFB">
      <w:pPr>
        <w:pStyle w:val="TOC1"/>
        <w:tabs>
          <w:tab w:val="right" w:leader="dot" w:pos="9350"/>
        </w:tabs>
        <w:rPr>
          <w:rFonts w:asciiTheme="minorHAnsi" w:eastAsiaTheme="minorEastAsia" w:hAnsiTheme="minorHAnsi" w:cstheme="minorBidi"/>
          <w:b w:val="0"/>
          <w:noProof/>
        </w:rPr>
      </w:pPr>
      <w:hyperlink w:anchor="_Toc228394679" w:history="1">
        <w:r w:rsidRPr="00811602">
          <w:rPr>
            <w:rStyle w:val="Hyperlink"/>
            <w:noProof/>
            <w:kern w:val="36"/>
          </w:rPr>
          <w:t>2</w:t>
        </w:r>
        <w:r>
          <w:rPr>
            <w:rFonts w:asciiTheme="minorHAnsi" w:eastAsiaTheme="minorEastAsia" w:hAnsiTheme="minorHAnsi" w:cstheme="minorBidi"/>
            <w:b w:val="0"/>
            <w:noProof/>
          </w:rPr>
          <w:tab/>
        </w:r>
        <w:r w:rsidRPr="00811602">
          <w:rPr>
            <w:rStyle w:val="Hyperlink"/>
            <w:noProof/>
          </w:rPr>
          <w:t>Methods</w:t>
        </w:r>
        <w:r>
          <w:rPr>
            <w:noProof/>
            <w:webHidden/>
          </w:rPr>
          <w:tab/>
        </w:r>
        <w:r>
          <w:rPr>
            <w:noProof/>
            <w:webHidden/>
          </w:rPr>
          <w:fldChar w:fldCharType="begin"/>
        </w:r>
        <w:r>
          <w:rPr>
            <w:noProof/>
            <w:webHidden/>
          </w:rPr>
          <w:instrText xml:space="preserve"> PAGEREF _Toc228394679 \h </w:instrText>
        </w:r>
        <w:r>
          <w:rPr>
            <w:noProof/>
            <w:webHidden/>
          </w:rPr>
        </w:r>
        <w:r>
          <w:rPr>
            <w:noProof/>
            <w:webHidden/>
          </w:rPr>
          <w:fldChar w:fldCharType="separate"/>
        </w:r>
        <w:r>
          <w:rPr>
            <w:noProof/>
            <w:webHidden/>
          </w:rPr>
          <w:t>24</w:t>
        </w:r>
        <w:r>
          <w:rPr>
            <w:noProof/>
            <w:webHidden/>
          </w:rPr>
          <w:fldChar w:fldCharType="end"/>
        </w:r>
      </w:hyperlink>
    </w:p>
    <w:p w14:paraId="4B40DFF8" w14:textId="4062C266" w:rsidR="00262CFB" w:rsidRDefault="00262CFB">
      <w:pPr>
        <w:pStyle w:val="TOC1"/>
        <w:tabs>
          <w:tab w:val="right" w:leader="dot" w:pos="9350"/>
        </w:tabs>
        <w:rPr>
          <w:rFonts w:asciiTheme="minorHAnsi" w:eastAsiaTheme="minorEastAsia" w:hAnsiTheme="minorHAnsi" w:cstheme="minorBidi"/>
          <w:b w:val="0"/>
          <w:noProof/>
        </w:rPr>
      </w:pPr>
      <w:hyperlink w:anchor="_Toc228394680" w:history="1">
        <w:r w:rsidRPr="00811602">
          <w:rPr>
            <w:rStyle w:val="Hyperlink"/>
            <w:noProof/>
            <w:kern w:val="36"/>
          </w:rPr>
          <w:t>3</w:t>
        </w:r>
        <w:r>
          <w:rPr>
            <w:rFonts w:asciiTheme="minorHAnsi" w:eastAsiaTheme="minorEastAsia" w:hAnsiTheme="minorHAnsi" w:cstheme="minorBidi"/>
            <w:b w:val="0"/>
            <w:noProof/>
          </w:rPr>
          <w:tab/>
        </w:r>
        <w:r w:rsidRPr="00811602">
          <w:rPr>
            <w:rStyle w:val="Hyperlink"/>
            <w:noProof/>
          </w:rPr>
          <w:t>Results</w:t>
        </w:r>
        <w:r>
          <w:rPr>
            <w:noProof/>
            <w:webHidden/>
          </w:rPr>
          <w:tab/>
        </w:r>
        <w:r>
          <w:rPr>
            <w:noProof/>
            <w:webHidden/>
          </w:rPr>
          <w:fldChar w:fldCharType="begin"/>
        </w:r>
        <w:r>
          <w:rPr>
            <w:noProof/>
            <w:webHidden/>
          </w:rPr>
          <w:instrText xml:space="preserve"> PAGEREF _Toc228394680 \h </w:instrText>
        </w:r>
        <w:r>
          <w:rPr>
            <w:noProof/>
            <w:webHidden/>
          </w:rPr>
        </w:r>
        <w:r>
          <w:rPr>
            <w:noProof/>
            <w:webHidden/>
          </w:rPr>
          <w:fldChar w:fldCharType="separate"/>
        </w:r>
        <w:r>
          <w:rPr>
            <w:noProof/>
            <w:webHidden/>
          </w:rPr>
          <w:t>34</w:t>
        </w:r>
        <w:r>
          <w:rPr>
            <w:noProof/>
            <w:webHidden/>
          </w:rPr>
          <w:fldChar w:fldCharType="end"/>
        </w:r>
      </w:hyperlink>
    </w:p>
    <w:p w14:paraId="12DD02BD" w14:textId="57FB1A8F" w:rsidR="00262CFB" w:rsidRDefault="00262CFB">
      <w:pPr>
        <w:pStyle w:val="TOC1"/>
        <w:tabs>
          <w:tab w:val="right" w:leader="dot" w:pos="9350"/>
        </w:tabs>
        <w:rPr>
          <w:rFonts w:asciiTheme="minorHAnsi" w:eastAsiaTheme="minorEastAsia" w:hAnsiTheme="minorHAnsi" w:cstheme="minorBidi"/>
          <w:b w:val="0"/>
          <w:noProof/>
        </w:rPr>
      </w:pPr>
      <w:hyperlink w:anchor="_Toc228394681" w:history="1">
        <w:r w:rsidRPr="00811602">
          <w:rPr>
            <w:rStyle w:val="Hyperlink"/>
            <w:noProof/>
            <w:kern w:val="36"/>
          </w:rPr>
          <w:t>4</w:t>
        </w:r>
        <w:r>
          <w:rPr>
            <w:rFonts w:asciiTheme="minorHAnsi" w:eastAsiaTheme="minorEastAsia" w:hAnsiTheme="minorHAnsi" w:cstheme="minorBidi"/>
            <w:b w:val="0"/>
            <w:noProof/>
          </w:rPr>
          <w:tab/>
        </w:r>
        <w:r w:rsidRPr="00811602">
          <w:rPr>
            <w:rStyle w:val="Hyperlink"/>
            <w:noProof/>
          </w:rPr>
          <w:t>Discussion</w:t>
        </w:r>
        <w:r>
          <w:rPr>
            <w:noProof/>
            <w:webHidden/>
          </w:rPr>
          <w:tab/>
        </w:r>
        <w:r>
          <w:rPr>
            <w:noProof/>
            <w:webHidden/>
          </w:rPr>
          <w:fldChar w:fldCharType="begin"/>
        </w:r>
        <w:r>
          <w:rPr>
            <w:noProof/>
            <w:webHidden/>
          </w:rPr>
          <w:instrText xml:space="preserve"> PAGEREF _Toc228394681 \h </w:instrText>
        </w:r>
        <w:r>
          <w:rPr>
            <w:noProof/>
            <w:webHidden/>
          </w:rPr>
        </w:r>
        <w:r>
          <w:rPr>
            <w:noProof/>
            <w:webHidden/>
          </w:rPr>
          <w:fldChar w:fldCharType="separate"/>
        </w:r>
        <w:r>
          <w:rPr>
            <w:noProof/>
            <w:webHidden/>
          </w:rPr>
          <w:t>62</w:t>
        </w:r>
        <w:r>
          <w:rPr>
            <w:noProof/>
            <w:webHidden/>
          </w:rPr>
          <w:fldChar w:fldCharType="end"/>
        </w:r>
      </w:hyperlink>
    </w:p>
    <w:p w14:paraId="43BED7BD" w14:textId="6A3763E8" w:rsidR="00262CFB" w:rsidRDefault="00262CFB">
      <w:pPr>
        <w:pStyle w:val="TOC1"/>
        <w:tabs>
          <w:tab w:val="right" w:leader="dot" w:pos="9350"/>
        </w:tabs>
        <w:rPr>
          <w:rFonts w:asciiTheme="minorHAnsi" w:eastAsiaTheme="minorEastAsia" w:hAnsiTheme="minorHAnsi" w:cstheme="minorBidi"/>
          <w:b w:val="0"/>
          <w:noProof/>
        </w:rPr>
      </w:pPr>
      <w:hyperlink w:anchor="_Toc228394682" w:history="1">
        <w:r w:rsidRPr="00811602">
          <w:rPr>
            <w:rStyle w:val="Hyperlink"/>
            <w:noProof/>
          </w:rPr>
          <w:t>5</w:t>
        </w:r>
        <w:r>
          <w:rPr>
            <w:rFonts w:asciiTheme="minorHAnsi" w:eastAsiaTheme="minorEastAsia" w:hAnsiTheme="minorHAnsi" w:cstheme="minorBidi"/>
            <w:b w:val="0"/>
            <w:noProof/>
          </w:rPr>
          <w:tab/>
        </w:r>
        <w:r w:rsidRPr="00811602">
          <w:rPr>
            <w:rStyle w:val="Hyperlink"/>
            <w:noProof/>
          </w:rPr>
          <w:t>Proposed Standard for Guide Dog Handlers Access, Protection, and Inclusion in Canada</w:t>
        </w:r>
        <w:r>
          <w:rPr>
            <w:noProof/>
            <w:webHidden/>
          </w:rPr>
          <w:tab/>
        </w:r>
        <w:r>
          <w:rPr>
            <w:noProof/>
            <w:webHidden/>
          </w:rPr>
          <w:fldChar w:fldCharType="begin"/>
        </w:r>
        <w:r>
          <w:rPr>
            <w:noProof/>
            <w:webHidden/>
          </w:rPr>
          <w:instrText xml:space="preserve"> PAGEREF _Toc228394682 \h </w:instrText>
        </w:r>
        <w:r>
          <w:rPr>
            <w:noProof/>
            <w:webHidden/>
          </w:rPr>
        </w:r>
        <w:r>
          <w:rPr>
            <w:noProof/>
            <w:webHidden/>
          </w:rPr>
          <w:fldChar w:fldCharType="separate"/>
        </w:r>
        <w:r>
          <w:rPr>
            <w:noProof/>
            <w:webHidden/>
          </w:rPr>
          <w:t>71</w:t>
        </w:r>
        <w:r>
          <w:rPr>
            <w:noProof/>
            <w:webHidden/>
          </w:rPr>
          <w:fldChar w:fldCharType="end"/>
        </w:r>
      </w:hyperlink>
    </w:p>
    <w:p w14:paraId="0B6747A7" w14:textId="34AA6952" w:rsidR="00262CFB" w:rsidRDefault="00262CFB">
      <w:pPr>
        <w:pStyle w:val="TOC1"/>
        <w:tabs>
          <w:tab w:val="right" w:leader="dot" w:pos="9350"/>
        </w:tabs>
        <w:rPr>
          <w:rFonts w:asciiTheme="minorHAnsi" w:eastAsiaTheme="minorEastAsia" w:hAnsiTheme="minorHAnsi" w:cstheme="minorBidi"/>
          <w:b w:val="0"/>
          <w:noProof/>
        </w:rPr>
      </w:pPr>
      <w:hyperlink w:anchor="_Toc228394683" w:history="1">
        <w:r w:rsidRPr="00811602">
          <w:rPr>
            <w:rStyle w:val="Hyperlink"/>
            <w:noProof/>
            <w:kern w:val="36"/>
          </w:rPr>
          <w:t>6</w:t>
        </w:r>
        <w:r>
          <w:rPr>
            <w:rFonts w:asciiTheme="minorHAnsi" w:eastAsiaTheme="minorEastAsia" w:hAnsiTheme="minorHAnsi" w:cstheme="minorBidi"/>
            <w:b w:val="0"/>
            <w:noProof/>
          </w:rPr>
          <w:tab/>
        </w:r>
        <w:r w:rsidRPr="00811602">
          <w:rPr>
            <w:rStyle w:val="Hyperlink"/>
            <w:noProof/>
          </w:rPr>
          <w:t>Strengths &amp; Limitations</w:t>
        </w:r>
        <w:r>
          <w:rPr>
            <w:noProof/>
            <w:webHidden/>
          </w:rPr>
          <w:tab/>
        </w:r>
        <w:r>
          <w:rPr>
            <w:noProof/>
            <w:webHidden/>
          </w:rPr>
          <w:fldChar w:fldCharType="begin"/>
        </w:r>
        <w:r>
          <w:rPr>
            <w:noProof/>
            <w:webHidden/>
          </w:rPr>
          <w:instrText xml:space="preserve"> PAGEREF _Toc228394683 \h </w:instrText>
        </w:r>
        <w:r>
          <w:rPr>
            <w:noProof/>
            <w:webHidden/>
          </w:rPr>
        </w:r>
        <w:r>
          <w:rPr>
            <w:noProof/>
            <w:webHidden/>
          </w:rPr>
          <w:fldChar w:fldCharType="separate"/>
        </w:r>
        <w:r>
          <w:rPr>
            <w:noProof/>
            <w:webHidden/>
          </w:rPr>
          <w:t>85</w:t>
        </w:r>
        <w:r>
          <w:rPr>
            <w:noProof/>
            <w:webHidden/>
          </w:rPr>
          <w:fldChar w:fldCharType="end"/>
        </w:r>
      </w:hyperlink>
    </w:p>
    <w:p w14:paraId="14348AEB" w14:textId="2DECC41F" w:rsidR="00262CFB" w:rsidRDefault="00262CFB">
      <w:pPr>
        <w:pStyle w:val="TOC1"/>
        <w:tabs>
          <w:tab w:val="right" w:leader="dot" w:pos="9350"/>
        </w:tabs>
        <w:rPr>
          <w:rFonts w:asciiTheme="minorHAnsi" w:eastAsiaTheme="minorEastAsia" w:hAnsiTheme="minorHAnsi" w:cstheme="minorBidi"/>
          <w:b w:val="0"/>
          <w:noProof/>
        </w:rPr>
      </w:pPr>
      <w:hyperlink w:anchor="_Toc228394684" w:history="1">
        <w:r w:rsidRPr="00811602">
          <w:rPr>
            <w:rStyle w:val="Hyperlink"/>
            <w:noProof/>
            <w:kern w:val="36"/>
          </w:rPr>
          <w:t>7</w:t>
        </w:r>
        <w:r>
          <w:rPr>
            <w:rFonts w:asciiTheme="minorHAnsi" w:eastAsiaTheme="minorEastAsia" w:hAnsiTheme="minorHAnsi" w:cstheme="minorBidi"/>
            <w:b w:val="0"/>
            <w:noProof/>
          </w:rPr>
          <w:tab/>
        </w:r>
        <w:r w:rsidRPr="00811602">
          <w:rPr>
            <w:rStyle w:val="Hyperlink"/>
            <w:noProof/>
          </w:rPr>
          <w:t>Conclusion</w:t>
        </w:r>
        <w:r>
          <w:rPr>
            <w:noProof/>
            <w:webHidden/>
          </w:rPr>
          <w:tab/>
        </w:r>
        <w:r>
          <w:rPr>
            <w:noProof/>
            <w:webHidden/>
          </w:rPr>
          <w:fldChar w:fldCharType="begin"/>
        </w:r>
        <w:r>
          <w:rPr>
            <w:noProof/>
            <w:webHidden/>
          </w:rPr>
          <w:instrText xml:space="preserve"> PAGEREF _Toc228394684 \h </w:instrText>
        </w:r>
        <w:r>
          <w:rPr>
            <w:noProof/>
            <w:webHidden/>
          </w:rPr>
        </w:r>
        <w:r>
          <w:rPr>
            <w:noProof/>
            <w:webHidden/>
          </w:rPr>
          <w:fldChar w:fldCharType="separate"/>
        </w:r>
        <w:r>
          <w:rPr>
            <w:noProof/>
            <w:webHidden/>
          </w:rPr>
          <w:t>87</w:t>
        </w:r>
        <w:r>
          <w:rPr>
            <w:noProof/>
            <w:webHidden/>
          </w:rPr>
          <w:fldChar w:fldCharType="end"/>
        </w:r>
      </w:hyperlink>
    </w:p>
    <w:p w14:paraId="3EC20428" w14:textId="1C9E4F22" w:rsidR="00262CFB" w:rsidRDefault="00262CFB">
      <w:pPr>
        <w:pStyle w:val="TOC1"/>
        <w:tabs>
          <w:tab w:val="right" w:leader="dot" w:pos="9350"/>
        </w:tabs>
        <w:rPr>
          <w:rFonts w:asciiTheme="minorHAnsi" w:eastAsiaTheme="minorEastAsia" w:hAnsiTheme="minorHAnsi" w:cstheme="minorBidi"/>
          <w:b w:val="0"/>
          <w:noProof/>
        </w:rPr>
      </w:pPr>
      <w:hyperlink w:anchor="_Toc228394685" w:history="1">
        <w:r w:rsidRPr="00811602">
          <w:rPr>
            <w:rStyle w:val="Hyperlink"/>
            <w:noProof/>
          </w:rPr>
          <w:t>References</w:t>
        </w:r>
        <w:r>
          <w:rPr>
            <w:noProof/>
            <w:webHidden/>
          </w:rPr>
          <w:tab/>
        </w:r>
        <w:r>
          <w:rPr>
            <w:noProof/>
            <w:webHidden/>
          </w:rPr>
          <w:fldChar w:fldCharType="begin"/>
        </w:r>
        <w:r>
          <w:rPr>
            <w:noProof/>
            <w:webHidden/>
          </w:rPr>
          <w:instrText xml:space="preserve"> PAGEREF _Toc228394685 \h </w:instrText>
        </w:r>
        <w:r>
          <w:rPr>
            <w:noProof/>
            <w:webHidden/>
          </w:rPr>
        </w:r>
        <w:r>
          <w:rPr>
            <w:noProof/>
            <w:webHidden/>
          </w:rPr>
          <w:fldChar w:fldCharType="separate"/>
        </w:r>
        <w:r>
          <w:rPr>
            <w:noProof/>
            <w:webHidden/>
          </w:rPr>
          <w:t>94</w:t>
        </w:r>
        <w:r>
          <w:rPr>
            <w:noProof/>
            <w:webHidden/>
          </w:rPr>
          <w:fldChar w:fldCharType="end"/>
        </w:r>
      </w:hyperlink>
    </w:p>
    <w:p w14:paraId="34264182" w14:textId="626F2E21" w:rsidR="00262CFB" w:rsidRDefault="00262CFB">
      <w:pPr>
        <w:pStyle w:val="TOC1"/>
        <w:tabs>
          <w:tab w:val="right" w:leader="dot" w:pos="9350"/>
        </w:tabs>
        <w:rPr>
          <w:rFonts w:asciiTheme="minorHAnsi" w:eastAsiaTheme="minorEastAsia" w:hAnsiTheme="minorHAnsi" w:cstheme="minorBidi"/>
          <w:b w:val="0"/>
          <w:noProof/>
        </w:rPr>
      </w:pPr>
      <w:hyperlink w:anchor="_Toc228394686" w:history="1">
        <w:r w:rsidRPr="00811602">
          <w:rPr>
            <w:rStyle w:val="Hyperlink"/>
            <w:noProof/>
          </w:rPr>
          <w:t>Appendix A: Original Twenty-three Report Recommendations</w:t>
        </w:r>
        <w:r>
          <w:rPr>
            <w:noProof/>
            <w:webHidden/>
          </w:rPr>
          <w:tab/>
        </w:r>
        <w:r>
          <w:rPr>
            <w:noProof/>
            <w:webHidden/>
          </w:rPr>
          <w:fldChar w:fldCharType="begin"/>
        </w:r>
        <w:r>
          <w:rPr>
            <w:noProof/>
            <w:webHidden/>
          </w:rPr>
          <w:instrText xml:space="preserve"> PAGEREF _Toc228394686 \h </w:instrText>
        </w:r>
        <w:r>
          <w:rPr>
            <w:noProof/>
            <w:webHidden/>
          </w:rPr>
        </w:r>
        <w:r>
          <w:rPr>
            <w:noProof/>
            <w:webHidden/>
          </w:rPr>
          <w:fldChar w:fldCharType="separate"/>
        </w:r>
        <w:r>
          <w:rPr>
            <w:noProof/>
            <w:webHidden/>
          </w:rPr>
          <w:t>98</w:t>
        </w:r>
        <w:r>
          <w:rPr>
            <w:noProof/>
            <w:webHidden/>
          </w:rPr>
          <w:fldChar w:fldCharType="end"/>
        </w:r>
      </w:hyperlink>
    </w:p>
    <w:p w14:paraId="3AABDCF0" w14:textId="46D82D1F" w:rsidR="00262CFB" w:rsidRDefault="00262CFB">
      <w:pPr>
        <w:pStyle w:val="TOC1"/>
        <w:tabs>
          <w:tab w:val="right" w:leader="dot" w:pos="9350"/>
        </w:tabs>
        <w:rPr>
          <w:rFonts w:asciiTheme="minorHAnsi" w:eastAsiaTheme="minorEastAsia" w:hAnsiTheme="minorHAnsi" w:cstheme="minorBidi"/>
          <w:b w:val="0"/>
          <w:noProof/>
        </w:rPr>
      </w:pPr>
      <w:hyperlink w:anchor="_Toc228394687" w:history="1">
        <w:r w:rsidRPr="00811602">
          <w:rPr>
            <w:rStyle w:val="Hyperlink"/>
            <w:noProof/>
          </w:rPr>
          <w:t>Appendix B: Project Timeline &amp; Activities</w:t>
        </w:r>
        <w:r>
          <w:rPr>
            <w:noProof/>
            <w:webHidden/>
          </w:rPr>
          <w:tab/>
        </w:r>
        <w:r>
          <w:rPr>
            <w:noProof/>
            <w:webHidden/>
          </w:rPr>
          <w:fldChar w:fldCharType="begin"/>
        </w:r>
        <w:r>
          <w:rPr>
            <w:noProof/>
            <w:webHidden/>
          </w:rPr>
          <w:instrText xml:space="preserve"> PAGEREF _Toc228394687 \h </w:instrText>
        </w:r>
        <w:r>
          <w:rPr>
            <w:noProof/>
            <w:webHidden/>
          </w:rPr>
        </w:r>
        <w:r>
          <w:rPr>
            <w:noProof/>
            <w:webHidden/>
          </w:rPr>
          <w:fldChar w:fldCharType="separate"/>
        </w:r>
        <w:r>
          <w:rPr>
            <w:noProof/>
            <w:webHidden/>
          </w:rPr>
          <w:t>110</w:t>
        </w:r>
        <w:r>
          <w:rPr>
            <w:noProof/>
            <w:webHidden/>
          </w:rPr>
          <w:fldChar w:fldCharType="end"/>
        </w:r>
      </w:hyperlink>
    </w:p>
    <w:p w14:paraId="603A0DF9" w14:textId="6E47AC51" w:rsidR="6A0D869D" w:rsidRPr="00C45EFD" w:rsidRDefault="0016196F" w:rsidP="0016196F">
      <w:pPr>
        <w:pStyle w:val="TOC1"/>
        <w:tabs>
          <w:tab w:val="right" w:leader="dot" w:pos="9350"/>
        </w:tabs>
        <w:ind w:left="0" w:firstLine="0"/>
        <w:rPr>
          <w:color w:val="467886"/>
          <w:u w:val="single"/>
        </w:rPr>
      </w:pPr>
      <w:r>
        <w:rPr>
          <w:color w:val="467886"/>
          <w:u w:val="single"/>
        </w:rPr>
        <w:fldChar w:fldCharType="end"/>
      </w:r>
    </w:p>
    <w:p w14:paraId="1B1F1C2D" w14:textId="77777777" w:rsidR="00D404FB" w:rsidRDefault="00D404FB" w:rsidP="00F0381D">
      <w:pPr>
        <w:rPr>
          <w:lang w:eastAsia="en-CA"/>
        </w:rPr>
      </w:pPr>
      <w:r>
        <w:t> </w:t>
      </w:r>
    </w:p>
    <w:p w14:paraId="5C88C5F4" w14:textId="2A029A3C" w:rsidR="00C87518" w:rsidRPr="000679B8" w:rsidRDefault="00CB6FC7" w:rsidP="0055692A">
      <w:pPr>
        <w:pStyle w:val="Heading1"/>
        <w:rPr>
          <w:rFonts w:asciiTheme="minorHAnsi" w:hAnsiTheme="minorHAnsi"/>
          <w:sz w:val="28"/>
          <w:szCs w:val="28"/>
        </w:rPr>
      </w:pPr>
      <w:r>
        <w:br w:type="page"/>
      </w:r>
      <w:bookmarkStart w:id="33" w:name="_Toc228394674"/>
      <w:bookmarkStart w:id="34" w:name="_Toc2142792367"/>
      <w:bookmarkStart w:id="35" w:name="_Toc945800375"/>
      <w:bookmarkStart w:id="36" w:name="_Toc905638446"/>
      <w:bookmarkStart w:id="37" w:name="_Toc1398971911"/>
      <w:bookmarkStart w:id="38" w:name="_Toc1261949084"/>
      <w:bookmarkStart w:id="39" w:name="_Toc1235984"/>
      <w:bookmarkStart w:id="40" w:name="_Toc745998022"/>
      <w:bookmarkStart w:id="41" w:name="_Toc1255985797"/>
      <w:bookmarkStart w:id="42" w:name="_Toc806109818"/>
      <w:r w:rsidR="00D91078">
        <w:lastRenderedPageBreak/>
        <w:t>List of Abbreviations</w:t>
      </w:r>
      <w:bookmarkEnd w:id="33"/>
    </w:p>
    <w:p w14:paraId="3E3CAEF8" w14:textId="77777777" w:rsidR="00AE1949" w:rsidRDefault="00AE1949" w:rsidP="002E691D">
      <w:pPr>
        <w:pStyle w:val="APAReference"/>
      </w:pPr>
      <w:r>
        <w:t>ACA: Accessible Canada Act</w:t>
      </w:r>
    </w:p>
    <w:p w14:paraId="3911263A" w14:textId="77777777" w:rsidR="00AE1949" w:rsidRDefault="00AE1949" w:rsidP="002E691D">
      <w:pPr>
        <w:pStyle w:val="APAReference"/>
      </w:pPr>
      <w:r>
        <w:t>ADA: Americans with Disabilities Act</w:t>
      </w:r>
    </w:p>
    <w:p w14:paraId="048D89C3" w14:textId="77777777" w:rsidR="00835DE7" w:rsidRDefault="00835DE7">
      <w:pPr>
        <w:pStyle w:val="APAReference"/>
      </w:pPr>
      <w:r>
        <w:t>AADF: Anticipated Access Denial Framework</w:t>
      </w:r>
    </w:p>
    <w:p w14:paraId="61F45982" w14:textId="77777777" w:rsidR="00AE1949" w:rsidRDefault="00AE1949" w:rsidP="002E691D">
      <w:pPr>
        <w:pStyle w:val="APAReference"/>
      </w:pPr>
      <w:r>
        <w:t>ADI: Assistance Dogs International</w:t>
      </w:r>
    </w:p>
    <w:p w14:paraId="761AB347" w14:textId="77777777" w:rsidR="00AE1949" w:rsidRDefault="00AE1949" w:rsidP="002E691D">
      <w:pPr>
        <w:pStyle w:val="APAReference"/>
      </w:pPr>
      <w:r>
        <w:t>AODA: Accessibility for Ontarians Disability Act</w:t>
      </w:r>
    </w:p>
    <w:p w14:paraId="795CAFF0" w14:textId="77777777" w:rsidR="00AE1949" w:rsidRDefault="00AE1949" w:rsidP="002E691D">
      <w:pPr>
        <w:pStyle w:val="APAReference"/>
      </w:pPr>
      <w:r>
        <w:t>ASC: Accessibility Standards Canada</w:t>
      </w:r>
    </w:p>
    <w:p w14:paraId="73D681D8" w14:textId="77777777" w:rsidR="00AE1949" w:rsidRDefault="00AE1949" w:rsidP="002E691D">
      <w:pPr>
        <w:pStyle w:val="APAReference"/>
      </w:pPr>
      <w:r>
        <w:t>CATSA: Canadian Air Transport Security Authority</w:t>
      </w:r>
    </w:p>
    <w:p w14:paraId="07403ED2" w14:textId="77777777" w:rsidR="00AE1949" w:rsidRDefault="00AE1949" w:rsidP="002E691D">
      <w:pPr>
        <w:pStyle w:val="APAReference"/>
      </w:pPr>
      <w:r>
        <w:t>CBSA: Canadian Border Services Agency</w:t>
      </w:r>
    </w:p>
    <w:p w14:paraId="46B6C1CD" w14:textId="77777777" w:rsidR="00AE1949" w:rsidRDefault="00AE1949" w:rsidP="002E691D">
      <w:pPr>
        <w:pStyle w:val="APAReference"/>
      </w:pPr>
      <w:r>
        <w:t>CNIB: Canadian National Institute for the Blind</w:t>
      </w:r>
    </w:p>
    <w:p w14:paraId="6C35A232" w14:textId="77777777" w:rsidR="00AE1949" w:rsidRDefault="00AE1949" w:rsidP="002E691D">
      <w:pPr>
        <w:pStyle w:val="APAReference"/>
      </w:pPr>
      <w:r>
        <w:t>CTA: Canadian Transportation Agency</w:t>
      </w:r>
    </w:p>
    <w:p w14:paraId="609C585D" w14:textId="77777777" w:rsidR="00AE1949" w:rsidRDefault="00AE1949" w:rsidP="002E691D">
      <w:pPr>
        <w:pStyle w:val="APAReference"/>
      </w:pPr>
      <w:r>
        <w:t>ESA: Emotional Support Animals</w:t>
      </w:r>
    </w:p>
    <w:p w14:paraId="68F6DFE5" w14:textId="77777777" w:rsidR="00AE1949" w:rsidRDefault="00AE1949" w:rsidP="002E691D">
      <w:pPr>
        <w:pStyle w:val="APAReference"/>
      </w:pPr>
      <w:r>
        <w:t>EU: European Union</w:t>
      </w:r>
    </w:p>
    <w:p w14:paraId="61F8348C" w14:textId="77777777" w:rsidR="00AE1949" w:rsidRDefault="00AE1949" w:rsidP="002E691D">
      <w:pPr>
        <w:pStyle w:val="APAReference"/>
      </w:pPr>
      <w:r>
        <w:t>IGDF: International Guide Dog Federation</w:t>
      </w:r>
    </w:p>
    <w:p w14:paraId="0393F3E0" w14:textId="77777777" w:rsidR="00835DE7" w:rsidRDefault="00835DE7">
      <w:pPr>
        <w:pStyle w:val="APAReference"/>
      </w:pPr>
      <w:r>
        <w:t>RCMP: Royal Canadian Mounted Police</w:t>
      </w:r>
    </w:p>
    <w:p w14:paraId="5E758DDE" w14:textId="64E7375A" w:rsidR="004D23CA" w:rsidRDefault="004D23CA" w:rsidP="0055692A">
      <w:pPr>
        <w:pStyle w:val="Heading1"/>
      </w:pPr>
      <w:bookmarkStart w:id="43" w:name="_Toc228394675"/>
      <w:r>
        <w:lastRenderedPageBreak/>
        <w:t>List of Figures</w:t>
      </w:r>
      <w:bookmarkEnd w:id="43"/>
    </w:p>
    <w:p w14:paraId="556630A6" w14:textId="43AE9617" w:rsidR="00AC3B18" w:rsidRPr="0030178C" w:rsidRDefault="004D23CA">
      <w:pPr>
        <w:pStyle w:val="TableofFigures"/>
        <w:rPr>
          <w:rFonts w:asciiTheme="minorHAnsi" w:eastAsiaTheme="minorEastAsia" w:hAnsiTheme="minorHAnsi" w:cstheme="minorBidi"/>
          <w:b w:val="0"/>
          <w:bCs/>
          <w:noProof/>
          <w:lang w:eastAsia="en-CA"/>
        </w:rPr>
      </w:pPr>
      <w:r w:rsidRPr="0030178C">
        <w:rPr>
          <w:b w:val="0"/>
          <w:bCs/>
        </w:rPr>
        <w:fldChar w:fldCharType="begin"/>
      </w:r>
      <w:r w:rsidRPr="0030178C">
        <w:rPr>
          <w:b w:val="0"/>
          <w:bCs/>
        </w:rPr>
        <w:instrText xml:space="preserve"> TOC \h \z \c "Figure" </w:instrText>
      </w:r>
      <w:r w:rsidRPr="0030178C">
        <w:rPr>
          <w:b w:val="0"/>
          <w:bCs/>
        </w:rPr>
        <w:fldChar w:fldCharType="separate"/>
      </w:r>
      <w:hyperlink w:anchor="_Toc228389123" w:history="1">
        <w:r w:rsidR="00AC3B18" w:rsidRPr="0030178C">
          <w:rPr>
            <w:rStyle w:val="Hyperlink"/>
            <w:b w:val="0"/>
            <w:bCs/>
            <w:noProof/>
          </w:rPr>
          <w:t>Figure 1  Anticipated Access Denial Framework (AADF) for Guide Dog Handlers in Canada</w:t>
        </w:r>
        <w:r w:rsidR="00AC3B18" w:rsidRPr="0030178C">
          <w:rPr>
            <w:b w:val="0"/>
            <w:bCs/>
            <w:noProof/>
            <w:webHidden/>
          </w:rPr>
          <w:tab/>
        </w:r>
        <w:r w:rsidR="00AC3B18" w:rsidRPr="0030178C">
          <w:rPr>
            <w:b w:val="0"/>
            <w:bCs/>
            <w:noProof/>
            <w:webHidden/>
          </w:rPr>
          <w:fldChar w:fldCharType="begin"/>
        </w:r>
        <w:r w:rsidR="00AC3B18" w:rsidRPr="0030178C">
          <w:rPr>
            <w:b w:val="0"/>
            <w:bCs/>
            <w:noProof/>
            <w:webHidden/>
          </w:rPr>
          <w:instrText xml:space="preserve"> PAGEREF _Toc228389123 \h </w:instrText>
        </w:r>
        <w:r w:rsidR="00AC3B18" w:rsidRPr="0030178C">
          <w:rPr>
            <w:b w:val="0"/>
            <w:bCs/>
            <w:noProof/>
            <w:webHidden/>
          </w:rPr>
        </w:r>
        <w:r w:rsidR="00AC3B18" w:rsidRPr="0030178C">
          <w:rPr>
            <w:b w:val="0"/>
            <w:bCs/>
            <w:noProof/>
            <w:webHidden/>
          </w:rPr>
          <w:fldChar w:fldCharType="separate"/>
        </w:r>
        <w:r w:rsidR="00AC3B18" w:rsidRPr="0030178C">
          <w:rPr>
            <w:b w:val="0"/>
            <w:bCs/>
            <w:noProof/>
            <w:webHidden/>
          </w:rPr>
          <w:t>67</w:t>
        </w:r>
        <w:r w:rsidR="00AC3B18" w:rsidRPr="0030178C">
          <w:rPr>
            <w:b w:val="0"/>
            <w:bCs/>
            <w:noProof/>
            <w:webHidden/>
          </w:rPr>
          <w:fldChar w:fldCharType="end"/>
        </w:r>
      </w:hyperlink>
    </w:p>
    <w:p w14:paraId="55D1E174" w14:textId="4C653289" w:rsidR="004D23CA" w:rsidRPr="004D23CA" w:rsidRDefault="004D23CA" w:rsidP="0030178C">
      <w:pPr>
        <w:ind w:firstLine="0"/>
      </w:pPr>
      <w:r w:rsidRPr="0030178C">
        <w:rPr>
          <w:bCs/>
        </w:rPr>
        <w:fldChar w:fldCharType="end"/>
      </w:r>
    </w:p>
    <w:p w14:paraId="7F1C8A21" w14:textId="126C43E6" w:rsidR="00654BF9" w:rsidRDefault="007C3640" w:rsidP="0055692A">
      <w:pPr>
        <w:pStyle w:val="Heading1"/>
      </w:pPr>
      <w:bookmarkStart w:id="44" w:name="_Toc228394676"/>
      <w:r>
        <w:t>List of Tables</w:t>
      </w:r>
      <w:bookmarkEnd w:id="44"/>
    </w:p>
    <w:p w14:paraId="6F4BB8D3" w14:textId="1B4CCCB9" w:rsidR="00C06BF6" w:rsidRPr="00C06BF6" w:rsidRDefault="0040381B">
      <w:pPr>
        <w:pStyle w:val="TableofFigures"/>
        <w:rPr>
          <w:rFonts w:asciiTheme="minorHAnsi" w:eastAsiaTheme="minorEastAsia" w:hAnsiTheme="minorHAnsi" w:cstheme="minorBidi"/>
          <w:b w:val="0"/>
          <w:bCs/>
          <w:noProof/>
          <w:lang w:eastAsia="en-CA"/>
        </w:rPr>
      </w:pPr>
      <w:r w:rsidRPr="00C06BF6">
        <w:rPr>
          <w:b w:val="0"/>
          <w:bCs/>
        </w:rPr>
        <w:fldChar w:fldCharType="begin"/>
      </w:r>
      <w:r w:rsidRPr="00C06BF6">
        <w:rPr>
          <w:b w:val="0"/>
          <w:bCs/>
        </w:rPr>
        <w:instrText xml:space="preserve"> TOC \h \z \c "Table" </w:instrText>
      </w:r>
      <w:r w:rsidRPr="00C06BF6">
        <w:rPr>
          <w:b w:val="0"/>
          <w:bCs/>
        </w:rPr>
        <w:fldChar w:fldCharType="separate"/>
      </w:r>
      <w:hyperlink w:anchor="_Toc228387190" w:history="1">
        <w:r w:rsidR="00C06BF6" w:rsidRPr="00C06BF6">
          <w:rPr>
            <w:rStyle w:val="Hyperlink"/>
            <w:b w:val="0"/>
            <w:bCs/>
            <w:noProof/>
          </w:rPr>
          <w:t>Table 1  Demographic Characteristics from Guide Dog Handlers Experiences Survey 2022 (n=546 complete responses)</w:t>
        </w:r>
        <w:r w:rsidR="00C06BF6" w:rsidRPr="00C06BF6">
          <w:rPr>
            <w:b w:val="0"/>
            <w:bCs/>
            <w:noProof/>
            <w:webHidden/>
          </w:rPr>
          <w:tab/>
        </w:r>
        <w:r w:rsidR="00C06BF6" w:rsidRPr="00C06BF6">
          <w:rPr>
            <w:b w:val="0"/>
            <w:bCs/>
            <w:noProof/>
            <w:webHidden/>
          </w:rPr>
          <w:fldChar w:fldCharType="begin"/>
        </w:r>
        <w:r w:rsidR="00C06BF6" w:rsidRPr="00C06BF6">
          <w:rPr>
            <w:b w:val="0"/>
            <w:bCs/>
            <w:noProof/>
            <w:webHidden/>
          </w:rPr>
          <w:instrText xml:space="preserve"> PAGEREF _Toc228387190 \h </w:instrText>
        </w:r>
        <w:r w:rsidR="00C06BF6" w:rsidRPr="00C06BF6">
          <w:rPr>
            <w:b w:val="0"/>
            <w:bCs/>
            <w:noProof/>
            <w:webHidden/>
          </w:rPr>
        </w:r>
        <w:r w:rsidR="00C06BF6" w:rsidRPr="00C06BF6">
          <w:rPr>
            <w:b w:val="0"/>
            <w:bCs/>
            <w:noProof/>
            <w:webHidden/>
          </w:rPr>
          <w:fldChar w:fldCharType="separate"/>
        </w:r>
        <w:r w:rsidR="00C06BF6" w:rsidRPr="00C06BF6">
          <w:rPr>
            <w:b w:val="0"/>
            <w:bCs/>
            <w:noProof/>
            <w:webHidden/>
          </w:rPr>
          <w:t>25</w:t>
        </w:r>
        <w:r w:rsidR="00C06BF6" w:rsidRPr="00C06BF6">
          <w:rPr>
            <w:b w:val="0"/>
            <w:bCs/>
            <w:noProof/>
            <w:webHidden/>
          </w:rPr>
          <w:fldChar w:fldCharType="end"/>
        </w:r>
      </w:hyperlink>
    </w:p>
    <w:p w14:paraId="46FE73EF" w14:textId="50CEBBD6" w:rsidR="00C06BF6" w:rsidRPr="00C06BF6" w:rsidRDefault="00C06BF6">
      <w:pPr>
        <w:pStyle w:val="TableofFigures"/>
        <w:rPr>
          <w:rFonts w:asciiTheme="minorHAnsi" w:eastAsiaTheme="minorEastAsia" w:hAnsiTheme="minorHAnsi" w:cstheme="minorBidi"/>
          <w:b w:val="0"/>
          <w:bCs/>
          <w:noProof/>
          <w:lang w:eastAsia="en-CA"/>
        </w:rPr>
      </w:pPr>
      <w:hyperlink w:anchor="_Toc228387191" w:history="1">
        <w:r w:rsidRPr="00C06BF6">
          <w:rPr>
            <w:rStyle w:val="Hyperlink"/>
            <w:b w:val="0"/>
            <w:bCs/>
            <w:noProof/>
          </w:rPr>
          <w:t>Table 2 Policy Dimensions Reviewed in the Jurisdictional Scan</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_Toc228387191 \h </w:instrText>
        </w:r>
        <w:r w:rsidRPr="00C06BF6">
          <w:rPr>
            <w:b w:val="0"/>
            <w:bCs/>
            <w:noProof/>
            <w:webHidden/>
          </w:rPr>
        </w:r>
        <w:r w:rsidRPr="00C06BF6">
          <w:rPr>
            <w:b w:val="0"/>
            <w:bCs/>
            <w:noProof/>
            <w:webHidden/>
          </w:rPr>
          <w:fldChar w:fldCharType="separate"/>
        </w:r>
        <w:r w:rsidRPr="00C06BF6">
          <w:rPr>
            <w:b w:val="0"/>
            <w:bCs/>
            <w:noProof/>
            <w:webHidden/>
          </w:rPr>
          <w:t>28</w:t>
        </w:r>
        <w:r w:rsidRPr="00C06BF6">
          <w:rPr>
            <w:b w:val="0"/>
            <w:bCs/>
            <w:noProof/>
            <w:webHidden/>
          </w:rPr>
          <w:fldChar w:fldCharType="end"/>
        </w:r>
      </w:hyperlink>
    </w:p>
    <w:p w14:paraId="2AB26647" w14:textId="3FDB3397" w:rsidR="00C06BF6" w:rsidRPr="00C06BF6" w:rsidRDefault="00C06BF6">
      <w:pPr>
        <w:pStyle w:val="TableofFigures"/>
        <w:rPr>
          <w:rFonts w:asciiTheme="minorHAnsi" w:eastAsiaTheme="minorEastAsia" w:hAnsiTheme="minorHAnsi" w:cstheme="minorBidi"/>
          <w:b w:val="0"/>
          <w:bCs/>
          <w:noProof/>
          <w:lang w:eastAsia="en-CA"/>
        </w:rPr>
      </w:pPr>
      <w:hyperlink w:anchor="_Toc228387192" w:history="1">
        <w:r w:rsidRPr="00C06BF6">
          <w:rPr>
            <w:rStyle w:val="Hyperlink"/>
            <w:b w:val="0"/>
            <w:bCs/>
            <w:noProof/>
          </w:rPr>
          <w:t>Table 3  Key Participant Illustrative Quotations &amp; Data Source</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_Toc228387192 \h </w:instrText>
        </w:r>
        <w:r w:rsidRPr="00C06BF6">
          <w:rPr>
            <w:b w:val="0"/>
            <w:bCs/>
            <w:noProof/>
            <w:webHidden/>
          </w:rPr>
        </w:r>
        <w:r w:rsidRPr="00C06BF6">
          <w:rPr>
            <w:b w:val="0"/>
            <w:bCs/>
            <w:noProof/>
            <w:webHidden/>
          </w:rPr>
          <w:fldChar w:fldCharType="separate"/>
        </w:r>
        <w:r w:rsidRPr="00C06BF6">
          <w:rPr>
            <w:b w:val="0"/>
            <w:bCs/>
            <w:noProof/>
            <w:webHidden/>
          </w:rPr>
          <w:t>37</w:t>
        </w:r>
        <w:r w:rsidRPr="00C06BF6">
          <w:rPr>
            <w:b w:val="0"/>
            <w:bCs/>
            <w:noProof/>
            <w:webHidden/>
          </w:rPr>
          <w:fldChar w:fldCharType="end"/>
        </w:r>
      </w:hyperlink>
    </w:p>
    <w:p w14:paraId="190A6C17" w14:textId="3F64A149" w:rsidR="00C06BF6" w:rsidRPr="00C06BF6" w:rsidRDefault="00C06BF6">
      <w:pPr>
        <w:pStyle w:val="TableofFigures"/>
        <w:rPr>
          <w:rFonts w:asciiTheme="minorHAnsi" w:eastAsiaTheme="minorEastAsia" w:hAnsiTheme="minorHAnsi" w:cstheme="minorBidi"/>
          <w:b w:val="0"/>
          <w:bCs/>
          <w:noProof/>
          <w:lang w:eastAsia="en-CA"/>
        </w:rPr>
      </w:pPr>
      <w:hyperlink w:anchor="_Toc228387193" w:history="1">
        <w:r w:rsidRPr="00C06BF6">
          <w:rPr>
            <w:rStyle w:val="Hyperlink"/>
            <w:b w:val="0"/>
            <w:bCs/>
            <w:noProof/>
          </w:rPr>
          <w:t>Table 4  Public Access Locations with Highest Reported Impact Among Guide Dog Handlers (2022)</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_Toc228387193 \h </w:instrText>
        </w:r>
        <w:r w:rsidRPr="00C06BF6">
          <w:rPr>
            <w:b w:val="0"/>
            <w:bCs/>
            <w:noProof/>
            <w:webHidden/>
          </w:rPr>
        </w:r>
        <w:r w:rsidRPr="00C06BF6">
          <w:rPr>
            <w:b w:val="0"/>
            <w:bCs/>
            <w:noProof/>
            <w:webHidden/>
          </w:rPr>
          <w:fldChar w:fldCharType="separate"/>
        </w:r>
        <w:r w:rsidRPr="00C06BF6">
          <w:rPr>
            <w:b w:val="0"/>
            <w:bCs/>
            <w:noProof/>
            <w:webHidden/>
          </w:rPr>
          <w:t>44</w:t>
        </w:r>
        <w:r w:rsidRPr="00C06BF6">
          <w:rPr>
            <w:b w:val="0"/>
            <w:bCs/>
            <w:noProof/>
            <w:webHidden/>
          </w:rPr>
          <w:fldChar w:fldCharType="end"/>
        </w:r>
      </w:hyperlink>
    </w:p>
    <w:p w14:paraId="3FE16DF8" w14:textId="2A32EAC0" w:rsidR="00C06BF6" w:rsidRPr="00C06BF6" w:rsidRDefault="00C06BF6">
      <w:pPr>
        <w:pStyle w:val="TableofFigures"/>
        <w:rPr>
          <w:rFonts w:asciiTheme="minorHAnsi" w:eastAsiaTheme="minorEastAsia" w:hAnsiTheme="minorHAnsi" w:cstheme="minorBidi"/>
          <w:b w:val="0"/>
          <w:bCs/>
          <w:noProof/>
          <w:lang w:eastAsia="en-CA"/>
        </w:rPr>
      </w:pPr>
      <w:hyperlink w:anchor="_Toc228387194" w:history="1">
        <w:r w:rsidRPr="00C06BF6">
          <w:rPr>
            <w:rStyle w:val="Hyperlink"/>
            <w:b w:val="0"/>
            <w:bCs/>
            <w:noProof/>
          </w:rPr>
          <w:t>Table 5  Transportation refusals reported in Canada from Guide Dog Handlers Experiences Survey 2022</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_Toc228387194 \h </w:instrText>
        </w:r>
        <w:r w:rsidRPr="00C06BF6">
          <w:rPr>
            <w:b w:val="0"/>
            <w:bCs/>
            <w:noProof/>
            <w:webHidden/>
          </w:rPr>
        </w:r>
        <w:r w:rsidRPr="00C06BF6">
          <w:rPr>
            <w:b w:val="0"/>
            <w:bCs/>
            <w:noProof/>
            <w:webHidden/>
          </w:rPr>
          <w:fldChar w:fldCharType="separate"/>
        </w:r>
        <w:r w:rsidRPr="00C06BF6">
          <w:rPr>
            <w:b w:val="0"/>
            <w:bCs/>
            <w:noProof/>
            <w:webHidden/>
          </w:rPr>
          <w:t>47</w:t>
        </w:r>
        <w:r w:rsidRPr="00C06BF6">
          <w:rPr>
            <w:b w:val="0"/>
            <w:bCs/>
            <w:noProof/>
            <w:webHidden/>
          </w:rPr>
          <w:fldChar w:fldCharType="end"/>
        </w:r>
      </w:hyperlink>
    </w:p>
    <w:p w14:paraId="4644A51A" w14:textId="74C33918" w:rsidR="00C06BF6" w:rsidRPr="00C06BF6" w:rsidRDefault="00C06BF6">
      <w:pPr>
        <w:pStyle w:val="TableofFigures"/>
        <w:rPr>
          <w:rFonts w:asciiTheme="minorHAnsi" w:eastAsiaTheme="minorEastAsia" w:hAnsiTheme="minorHAnsi" w:cstheme="minorBidi"/>
          <w:b w:val="0"/>
          <w:bCs/>
          <w:noProof/>
          <w:lang w:eastAsia="en-CA"/>
        </w:rPr>
      </w:pPr>
      <w:hyperlink w:anchor="_Toc228387195" w:history="1">
        <w:r w:rsidRPr="00C06BF6">
          <w:rPr>
            <w:rStyle w:val="Hyperlink"/>
            <w:b w:val="0"/>
            <w:bCs/>
            <w:noProof/>
          </w:rPr>
          <w:t>Table 6  Anticipated Access Denial Framework (AADF) Indicators: Exposure, Access Trouble, Anticipation, and Behavioural Adaptation in Public Settings (2022)</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_Toc228387195 \h </w:instrText>
        </w:r>
        <w:r w:rsidRPr="00C06BF6">
          <w:rPr>
            <w:b w:val="0"/>
            <w:bCs/>
            <w:noProof/>
            <w:webHidden/>
          </w:rPr>
        </w:r>
        <w:r w:rsidRPr="00C06BF6">
          <w:rPr>
            <w:b w:val="0"/>
            <w:bCs/>
            <w:noProof/>
            <w:webHidden/>
          </w:rPr>
          <w:fldChar w:fldCharType="separate"/>
        </w:r>
        <w:r w:rsidRPr="00C06BF6">
          <w:rPr>
            <w:b w:val="0"/>
            <w:bCs/>
            <w:noProof/>
            <w:webHidden/>
          </w:rPr>
          <w:t>51</w:t>
        </w:r>
        <w:r w:rsidRPr="00C06BF6">
          <w:rPr>
            <w:b w:val="0"/>
            <w:bCs/>
            <w:noProof/>
            <w:webHidden/>
          </w:rPr>
          <w:fldChar w:fldCharType="end"/>
        </w:r>
      </w:hyperlink>
    </w:p>
    <w:p w14:paraId="527EA066" w14:textId="3BC82C9F" w:rsidR="00C06BF6" w:rsidRPr="00C06BF6" w:rsidRDefault="00C06BF6">
      <w:pPr>
        <w:pStyle w:val="TableofFigures"/>
        <w:rPr>
          <w:rFonts w:asciiTheme="minorHAnsi" w:eastAsiaTheme="minorEastAsia" w:hAnsiTheme="minorHAnsi" w:cstheme="minorBidi"/>
          <w:b w:val="0"/>
          <w:bCs/>
          <w:noProof/>
          <w:lang w:eastAsia="en-CA"/>
        </w:rPr>
      </w:pPr>
      <w:hyperlink w:anchor="_Toc228387196" w:history="1">
        <w:r w:rsidRPr="00C06BF6">
          <w:rPr>
            <w:rStyle w:val="Hyperlink"/>
            <w:b w:val="0"/>
            <w:bCs/>
            <w:noProof/>
          </w:rPr>
          <w:t>Table 7  Canadian Attitudes Toward Guide Dogs from the Ipsos Reid (n = 1,001)</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_Toc228387196 \h </w:instrText>
        </w:r>
        <w:r w:rsidRPr="00C06BF6">
          <w:rPr>
            <w:b w:val="0"/>
            <w:bCs/>
            <w:noProof/>
            <w:webHidden/>
          </w:rPr>
        </w:r>
        <w:r w:rsidRPr="00C06BF6">
          <w:rPr>
            <w:b w:val="0"/>
            <w:bCs/>
            <w:noProof/>
            <w:webHidden/>
          </w:rPr>
          <w:fldChar w:fldCharType="separate"/>
        </w:r>
        <w:r w:rsidRPr="00C06BF6">
          <w:rPr>
            <w:b w:val="0"/>
            <w:bCs/>
            <w:noProof/>
            <w:webHidden/>
          </w:rPr>
          <w:t>57</w:t>
        </w:r>
        <w:r w:rsidRPr="00C06BF6">
          <w:rPr>
            <w:b w:val="0"/>
            <w:bCs/>
            <w:noProof/>
            <w:webHidden/>
          </w:rPr>
          <w:fldChar w:fldCharType="end"/>
        </w:r>
      </w:hyperlink>
    </w:p>
    <w:p w14:paraId="5EDC4D9B" w14:textId="73899013" w:rsidR="00C06BF6" w:rsidRPr="00C06BF6" w:rsidRDefault="00C06BF6">
      <w:pPr>
        <w:pStyle w:val="TableofFigures"/>
        <w:rPr>
          <w:rFonts w:asciiTheme="minorHAnsi" w:eastAsiaTheme="minorEastAsia" w:hAnsiTheme="minorHAnsi" w:cstheme="minorBidi"/>
          <w:b w:val="0"/>
          <w:bCs/>
          <w:noProof/>
          <w:lang w:eastAsia="en-CA"/>
        </w:rPr>
      </w:pPr>
      <w:hyperlink w:anchor="_Toc228387197" w:history="1">
        <w:r w:rsidRPr="00C06BF6">
          <w:rPr>
            <w:rStyle w:val="Hyperlink"/>
            <w:b w:val="0"/>
            <w:bCs/>
            <w:noProof/>
          </w:rPr>
          <w:t>Table 8  Guide Dog Project Activity Timeline</w:t>
        </w:r>
        <w:r w:rsidRPr="00C06BF6">
          <w:rPr>
            <w:b w:val="0"/>
            <w:bCs/>
            <w:noProof/>
            <w:webHidden/>
          </w:rPr>
          <w:tab/>
        </w:r>
        <w:r w:rsidRPr="00C06BF6">
          <w:rPr>
            <w:b w:val="0"/>
            <w:bCs/>
            <w:noProof/>
            <w:webHidden/>
          </w:rPr>
          <w:fldChar w:fldCharType="begin"/>
        </w:r>
        <w:r w:rsidRPr="00C06BF6">
          <w:rPr>
            <w:b w:val="0"/>
            <w:bCs/>
            <w:noProof/>
            <w:webHidden/>
          </w:rPr>
          <w:instrText xml:space="preserve"> PAGEREF _Toc228387197 \h </w:instrText>
        </w:r>
        <w:r w:rsidRPr="00C06BF6">
          <w:rPr>
            <w:b w:val="0"/>
            <w:bCs/>
            <w:noProof/>
            <w:webHidden/>
          </w:rPr>
        </w:r>
        <w:r w:rsidRPr="00C06BF6">
          <w:rPr>
            <w:b w:val="0"/>
            <w:bCs/>
            <w:noProof/>
            <w:webHidden/>
          </w:rPr>
          <w:fldChar w:fldCharType="separate"/>
        </w:r>
        <w:r w:rsidRPr="00C06BF6">
          <w:rPr>
            <w:b w:val="0"/>
            <w:bCs/>
            <w:noProof/>
            <w:webHidden/>
          </w:rPr>
          <w:t>109</w:t>
        </w:r>
        <w:r w:rsidRPr="00C06BF6">
          <w:rPr>
            <w:b w:val="0"/>
            <w:bCs/>
            <w:noProof/>
            <w:webHidden/>
          </w:rPr>
          <w:fldChar w:fldCharType="end"/>
        </w:r>
      </w:hyperlink>
    </w:p>
    <w:p w14:paraId="667B8E01" w14:textId="449A2A5F" w:rsidR="007C3640" w:rsidRPr="00C06BF6" w:rsidRDefault="0040381B" w:rsidP="00F0381D">
      <w:pPr>
        <w:rPr>
          <w:bCs/>
        </w:rPr>
      </w:pPr>
      <w:r w:rsidRPr="00C06BF6">
        <w:rPr>
          <w:bCs/>
        </w:rPr>
        <w:fldChar w:fldCharType="end"/>
      </w:r>
      <w:r w:rsidR="007C3640" w:rsidRPr="00C06BF6">
        <w:rPr>
          <w:bCs/>
        </w:rPr>
        <w:br w:type="page"/>
      </w:r>
    </w:p>
    <w:p w14:paraId="13233D47" w14:textId="4F695021" w:rsidR="000A336D" w:rsidRDefault="3D0B5717" w:rsidP="0055692A">
      <w:pPr>
        <w:pStyle w:val="Heading1"/>
        <w:rPr>
          <w:kern w:val="36"/>
          <w:sz w:val="32"/>
          <w:szCs w:val="32"/>
        </w:rPr>
      </w:pPr>
      <w:bookmarkStart w:id="45" w:name="_Toc228394677"/>
      <w:r>
        <w:lastRenderedPageBreak/>
        <w:t>Executive Summary</w:t>
      </w:r>
      <w:bookmarkEnd w:id="34"/>
      <w:bookmarkEnd w:id="35"/>
      <w:bookmarkEnd w:id="36"/>
      <w:bookmarkEnd w:id="37"/>
      <w:bookmarkEnd w:id="38"/>
      <w:bookmarkEnd w:id="39"/>
      <w:bookmarkEnd w:id="40"/>
      <w:bookmarkEnd w:id="41"/>
      <w:bookmarkEnd w:id="42"/>
      <w:bookmarkEnd w:id="45"/>
    </w:p>
    <w:p w14:paraId="13127331" w14:textId="77777777" w:rsidR="00C077F0" w:rsidRDefault="00C077F0">
      <w:bookmarkStart w:id="46" w:name="_Toc228294098"/>
      <w:r>
        <w:t xml:space="preserve">Despite longstanding provincial legislative protections and human rights frameworks in Canada, this study examined why public access denials and related barriers continue to be experienced by guide dog handlers. Research findings are synthesized from a year-long mixed-methods study conducted by the CNIB Research team under a grant from Accessibility Standards Canada (ASC) between March 2022 and 2023. The research was designed, undertaken and analyzed by individuals with lived experience in all phases from identifying the issues to knowledge translation and mobilization. Key empirical results from Canada and abroad and proposed draft guide standard are provided in a concise format based on the level of current evidence. </w:t>
      </w:r>
    </w:p>
    <w:p w14:paraId="134CD4B4" w14:textId="0B5A12E6" w:rsidR="00C46C3A" w:rsidRDefault="00C46C3A">
      <w:pPr>
        <w:rPr>
          <w:lang w:eastAsia="en-CA"/>
        </w:rPr>
      </w:pPr>
      <w:r>
        <w:t xml:space="preserve">The </w:t>
      </w:r>
      <w:r>
        <w:rPr>
          <w:b/>
          <w:bCs/>
        </w:rPr>
        <w:t>Anticipated Access Denial Framework (AADF)</w:t>
      </w:r>
      <w:r>
        <w:t xml:space="preserve"> describes how repeated, inconsistent, or contested public access experiences for guide dog teams can lead to anticipatory fear of discrimination and expected denial, resulting in protective behavioural adaptation (e.g., avoiding unfamiliar settings or sometimes choosing not to bring a guide dog) and downstream constraints on autonomy and mobility options over time. AADF emphasizes that reduced use of spaces and services may occur </w:t>
      </w:r>
      <w:r>
        <w:rPr>
          <w:i/>
          <w:iCs/>
        </w:rPr>
        <w:t>before</w:t>
      </w:r>
      <w:r>
        <w:t xml:space="preserve"> a new access </w:t>
      </w:r>
      <w:r>
        <w:lastRenderedPageBreak/>
        <w:t>attempt, based on learned expectations from prior experiences and ongoing uncertainty about rights implementation.</w:t>
      </w:r>
    </w:p>
    <w:p w14:paraId="5BA6A11F" w14:textId="7FD39F8C" w:rsidR="0049701F" w:rsidRDefault="0038065D" w:rsidP="00803D9D">
      <w:pPr>
        <w:pStyle w:val="Heading2"/>
      </w:pPr>
      <w:r>
        <w:t xml:space="preserve">The </w:t>
      </w:r>
      <w:r w:rsidR="0038717A">
        <w:t>Evidence-base:</w:t>
      </w:r>
      <w:bookmarkEnd w:id="46"/>
      <w:r w:rsidR="0038717A">
        <w:t xml:space="preserve"> </w:t>
      </w:r>
    </w:p>
    <w:p w14:paraId="10BCED58" w14:textId="77777777" w:rsidR="00AD2819" w:rsidRDefault="00AD2819">
      <w:pPr>
        <w:rPr>
          <w:lang w:eastAsia="en-CA"/>
        </w:rPr>
      </w:pPr>
      <w:bookmarkStart w:id="47" w:name="_Toc228294099"/>
      <w:r>
        <w:t xml:space="preserve">Data sources include a jurisdictional scan of guide dog access legislation, regulations, and policies across Canada (10 provinces and 3 territories) and select international jurisdictions (including the United States under the ADA and guide dog legislation in 30 U.S. states, as well as additional countries across multiple continents). A Guide Dog Access Project Advisory Committee was convened with 15 guide dog handlers from across Canada. Co-design sessions with 20 participants were almost exclusively with guide dog handlers along with seven focus groups with 31 participants. A Guide Dog Handlers Experiences Survey (2022) received 546 complete responses with 97.1% of respondents from Canada. A public attitudes survey was conducted by Ipsos Reid with 1,001 Canadians across all regions and demographic categories. As well, key informant interviews with industry representatives and transportation providers were undertaken based on advisory committee input and guidance. Over 1,600 Canadians participated in the project, representing one of the first large-scale Canadian studies on guide dog handlers. The issues identified in the study are mutually </w:t>
      </w:r>
      <w:r>
        <w:lastRenderedPageBreak/>
        <w:t>reinforcing and thus no single intervention can be prioritized, and a coordinated approach is required across the different jurisdictions and contexts.</w:t>
      </w:r>
    </w:p>
    <w:p w14:paraId="5B208C35" w14:textId="13288E45" w:rsidR="0049701F" w:rsidRDefault="00624F7E" w:rsidP="00803D9D">
      <w:pPr>
        <w:pStyle w:val="Heading2"/>
      </w:pPr>
      <w:r>
        <w:t xml:space="preserve">Key </w:t>
      </w:r>
      <w:r w:rsidR="002119A8">
        <w:t>Findings</w:t>
      </w:r>
      <w:bookmarkEnd w:id="47"/>
    </w:p>
    <w:p w14:paraId="0961040D" w14:textId="77777777" w:rsidR="00B837F3" w:rsidRDefault="00B837F3">
      <w:pPr>
        <w:rPr>
          <w:lang w:eastAsia="en-CA"/>
        </w:rPr>
      </w:pPr>
      <w:r>
        <w:t>Although public access standards were within remit, guide dog care and training were excluded. Participants expressed concern that standard-setting initiatives, such as prior draft standards developed by the General Standards Board (2017) and the Human Research Standards Organization (2022), could indirectly affect established, community-recognized guide dog training and certification frameworks.</w:t>
      </w:r>
    </w:p>
    <w:p w14:paraId="7B840785" w14:textId="77777777" w:rsidR="007A5C02" w:rsidRDefault="007A5C02">
      <w:pPr>
        <w:rPr>
          <w:lang w:eastAsia="en-CA"/>
        </w:rPr>
      </w:pPr>
      <w:r>
        <w:t>Transportation barriers emerged as one of the biggest access barriers in Canada. This included daily refusals by taxis and ride-share companies and confusion by guide dog handlers on the policies around air travel in Canada. Negative experiences by guide dog handlers were widespread on these issues, and stakeholders called on the Canadian Transportation Agency (CTA), taxi and ride-share service providers, to improve public access for guide dog handlers.</w:t>
      </w:r>
    </w:p>
    <w:p w14:paraId="02979042" w14:textId="3A786A2E" w:rsidR="0049701F" w:rsidRDefault="0049701F" w:rsidP="00F0381D">
      <w:r>
        <w:lastRenderedPageBreak/>
        <w:t>The current legislative, regulatory, and policy landscape is governed by the provinces, and Canadian guide dog users said they are left dealing with a “patchwork of inconsistencies” across the country regarding their public access rights.</w:t>
      </w:r>
      <w:r w:rsidR="00832801">
        <w:t xml:space="preserve"> </w:t>
      </w:r>
      <w:r>
        <w:t>Some provinces such as BC, Alberta, Nova Scotia and Ontario have specific legislation indicating what a ‘qualified’ guide dog is, backing this up via certification and/or identification requirements. Other provinces, however, such as Manitoba and New Brunswick have taken a different approach whereby how a dog behaves determines its appropriateness as a working guide dog. These provinces have no certification requirements and place much less emphasis on identification</w:t>
      </w:r>
      <w:r w:rsidR="00A4325E">
        <w:t>.</w:t>
      </w:r>
    </w:p>
    <w:p w14:paraId="0B85F0BF" w14:textId="130E717A" w:rsidR="0049701F" w:rsidRDefault="0049701F" w:rsidP="00F0381D">
      <w:r w:rsidRPr="00976121">
        <w:t xml:space="preserve">Findings show an ongoing debate over how to distinguish working guide dogs from pets or other support dogs, with participants expressing mixed views on identification but placing greater emphasis on demonstrated behaviour as the primary indicator of </w:t>
      </w:r>
      <w:r w:rsidR="00832801">
        <w:t xml:space="preserve">guide dog </w:t>
      </w:r>
      <w:r w:rsidRPr="00976121">
        <w:t>legitimacy, thereby questioning the value of certification and formal identification markers.</w:t>
      </w:r>
    </w:p>
    <w:p w14:paraId="1606C2E8" w14:textId="77777777" w:rsidR="00B043A0" w:rsidRDefault="00B043A0">
      <w:pPr>
        <w:rPr>
          <w:lang w:eastAsia="en-CA"/>
        </w:rPr>
      </w:pPr>
      <w:r>
        <w:t>Positive behaviour emerged as essentially a “false distinction” between guide dogs trained through International Guide Dog Federation (IGDF), and Assistance Dogs International (ADI) programs, and individuals known as “owner-trainers” who train their own guide dogs.</w:t>
      </w:r>
    </w:p>
    <w:p w14:paraId="1B7F4C64" w14:textId="77777777" w:rsidR="0049701F" w:rsidRDefault="0049701F" w:rsidP="00F0381D">
      <w:r w:rsidRPr="00E9403E">
        <w:lastRenderedPageBreak/>
        <w:t>Stakeholders noted that, as recognized under legislation such as the AODA and by human rights commissions, owner</w:t>
      </w:r>
      <w:r w:rsidRPr="00E9403E">
        <w:noBreakHyphen/>
        <w:t>trained guide dogs have the same public access rights and behavioural expectations as program</w:t>
      </w:r>
      <w:r w:rsidRPr="00E9403E">
        <w:noBreakHyphen/>
        <w:t>trained dogs, and argued that separate certification requirements in provinces such as BC, Alberta, and Nova Scotia create inequities for owner</w:t>
      </w:r>
      <w:r w:rsidRPr="00E9403E">
        <w:noBreakHyphen/>
        <w:t>trainers.</w:t>
      </w:r>
    </w:p>
    <w:p w14:paraId="59DA3D8D" w14:textId="77777777" w:rsidR="0049701F" w:rsidRDefault="0049701F" w:rsidP="00F0381D">
      <w:r w:rsidRPr="00E839BC">
        <w:t>Guide dog handlers indicated that when they experience discrimination, the human rights system is a primary avenue for recourse. In most provinces, human rights commissions represent the only formal mechanism for redress, as only four provinces have dedicated guide dog legislation in addition to human rights protections. However, many participants described the human rights process as slow and difficult to navigate, citing procedural barriers that discourage complaints. As a result, stakeholders called on the Canadian Human Rights Commission to provide national leadership in strengthening the accessibility, efficiency, and effectiveness of human rights enforcement across jurisdictions.</w:t>
      </w:r>
    </w:p>
    <w:p w14:paraId="57D6CD56" w14:textId="0718B4BC" w:rsidR="0049701F" w:rsidRPr="006B3271" w:rsidRDefault="0049701F" w:rsidP="00F0381D">
      <w:r w:rsidRPr="006B3271">
        <w:t>Guide dog handlers indicated that penalties and fines have not been effective in deterring ongoing public access refusals, noting that Ontario’s five thousand dollar fine upon conviction has remained unchanged for fifty-three years</w:t>
      </w:r>
      <w:r>
        <w:t xml:space="preserve"> and called for higher penalties.</w:t>
      </w:r>
    </w:p>
    <w:p w14:paraId="6690455D" w14:textId="77777777" w:rsidR="0049701F" w:rsidRDefault="0049701F" w:rsidP="00F0381D">
      <w:r>
        <w:lastRenderedPageBreak/>
        <w:t>I</w:t>
      </w:r>
      <w:r w:rsidRPr="00F107D0">
        <w:t>n provinces where guide dog legislation is enforced</w:t>
      </w:r>
      <w:r>
        <w:t xml:space="preserve">, </w:t>
      </w:r>
      <w:r w:rsidRPr="00F107D0">
        <w:t>local police</w:t>
      </w:r>
      <w:r>
        <w:t xml:space="preserve"> </w:t>
      </w:r>
      <w:r w:rsidRPr="00F107D0">
        <w:t xml:space="preserve">officers responding to incidents were often unfamiliar with the relevant legislation or its enforcement, leading stakeholders to call for improved training </w:t>
      </w:r>
      <w:r>
        <w:t xml:space="preserve">of </w:t>
      </w:r>
      <w:r w:rsidRPr="00F107D0">
        <w:t>local police forces.</w:t>
      </w:r>
    </w:p>
    <w:p w14:paraId="01B812B2" w14:textId="418E4848" w:rsidR="00A17E20" w:rsidRDefault="00A17E20" w:rsidP="00F0381D">
      <w:r>
        <w:t xml:space="preserve">While </w:t>
      </w:r>
      <w:r w:rsidR="009F5EC4">
        <w:t xml:space="preserve">Accessibility Standards Canada </w:t>
      </w:r>
      <w:r>
        <w:t xml:space="preserve">can only develop standards within the federal sphere, stakeholders were hopeful, albeit without being very </w:t>
      </w:r>
      <w:r w:rsidR="00832801">
        <w:t>specific, that</w:t>
      </w:r>
      <w:r>
        <w:t xml:space="preserve"> federal organizations could play a leadership role in resolving some guide dog access barriers.</w:t>
      </w:r>
    </w:p>
    <w:p w14:paraId="37E4E5B0" w14:textId="77777777" w:rsidR="007131B5" w:rsidRDefault="007131B5">
      <w:pPr>
        <w:rPr>
          <w:lang w:eastAsia="en-CA"/>
        </w:rPr>
      </w:pPr>
      <w:r>
        <w:t>During the project, education emerged as a key solution to help resolve this guide dog access crisis. Overwhelmingly, stakeholders expressed that public education needs to take place on a national level. Stakeholders asked for a national public education campaign on guide dog issues.</w:t>
      </w:r>
    </w:p>
    <w:p w14:paraId="31441757" w14:textId="77777777" w:rsidR="00F34823" w:rsidRDefault="00F34823">
      <w:pPr>
        <w:rPr>
          <w:lang w:eastAsia="en-CA"/>
        </w:rPr>
      </w:pPr>
      <w:r>
        <w:t>A core curriculum needs to be developed to teach guide dog issues at all levels of the education system from primary to post-secondary programs such as law and health care.</w:t>
      </w:r>
    </w:p>
    <w:p w14:paraId="38DAD2E5" w14:textId="77777777" w:rsidR="00F62AC3" w:rsidRDefault="00F62AC3">
      <w:pPr>
        <w:rPr>
          <w:lang w:eastAsia="en-CA"/>
        </w:rPr>
      </w:pPr>
      <w:bookmarkStart w:id="48" w:name="_Toc228294100"/>
      <w:bookmarkStart w:id="49" w:name="_Toc1784578540"/>
      <w:bookmarkStart w:id="50" w:name="_Toc1520289813"/>
      <w:bookmarkStart w:id="51" w:name="_Toc613222566"/>
      <w:bookmarkStart w:id="52" w:name="_Toc1041977111"/>
      <w:bookmarkStart w:id="53" w:name="_Toc1659141334"/>
      <w:bookmarkStart w:id="54" w:name="_Toc1517749227"/>
      <w:bookmarkStart w:id="55" w:name="_Toc1279685133"/>
      <w:bookmarkStart w:id="56" w:name="_Toc1591627627"/>
      <w:bookmarkStart w:id="57" w:name="_Toc135756304"/>
      <w:r>
        <w:t xml:space="preserve">The jurisdictional scan identified that most states in the United States have driving laws or so-called “white cane laws” to protect the safety of guide dog users and white cane travellers. These laws require drivers to slow down and often give the right-of-way to blind and partially sighted </w:t>
      </w:r>
      <w:r>
        <w:lastRenderedPageBreak/>
        <w:t xml:space="preserve">pedestrians. The research indicated this is a possible legislative innovation that Canadian jurisdiction should consider developing and adopting.  </w:t>
      </w:r>
    </w:p>
    <w:p w14:paraId="52B1A57A" w14:textId="448D2705" w:rsidR="00655BE0" w:rsidRDefault="001A1E06" w:rsidP="00803D9D">
      <w:pPr>
        <w:pStyle w:val="Heading2"/>
      </w:pPr>
      <w:r>
        <w:t>Avenues for intervention</w:t>
      </w:r>
      <w:bookmarkEnd w:id="48"/>
    </w:p>
    <w:p w14:paraId="7A5BE723" w14:textId="4C3F6735" w:rsidR="00080E33" w:rsidRDefault="009F5EC4" w:rsidP="00F0381D">
      <w:r>
        <w:t xml:space="preserve">A </w:t>
      </w:r>
      <w:r w:rsidR="00BB7D98">
        <w:t>proposed</w:t>
      </w:r>
      <w:r>
        <w:t xml:space="preserve"> standard for Guide Dogs in Canada </w:t>
      </w:r>
      <w:r w:rsidR="00BB7D98">
        <w:t>is developed (Section 5). There is a need to s</w:t>
      </w:r>
      <w:r w:rsidR="00655BE0">
        <w:t>trengthen the consistency and the need for practical implementation of guide dog public access rights across sectors (notably transportation), with clearer operational processes and staff training. Emphasize behaviour-based understanding of working guide dogs in public education and service-provider training, while minimizing avoidable burdens on handlers to disclose personal information. Improve the timeliness and accessibility of complaint and redress pathways and increase front-line awareness of applicable enforcement mechanisms. Invest in broad public education initiatives with national reach and measurable outcomes, including integration into education and professional training contexts.</w:t>
      </w:r>
    </w:p>
    <w:p w14:paraId="3F5C4527" w14:textId="77777777" w:rsidR="00676973" w:rsidRDefault="00676973">
      <w:pPr>
        <w:rPr>
          <w:lang w:eastAsia="en-CA"/>
        </w:rPr>
      </w:pPr>
      <w:r>
        <w:rPr>
          <w:b/>
          <w:bCs/>
        </w:rPr>
        <w:t>Keywords:</w:t>
      </w:r>
      <w:r>
        <w:br/>
        <w:t>Guide Dogs, Canada, Access, Barriers, Public Attitudes, Transportation</w:t>
      </w:r>
    </w:p>
    <w:p w14:paraId="64D2EB5F" w14:textId="20D804FF" w:rsidR="0050041F" w:rsidRDefault="00E92E87" w:rsidP="00F0381D">
      <w:pPr>
        <w:rPr>
          <w:rFonts w:eastAsiaTheme="majorEastAsia" w:cstheme="majorBidi"/>
          <w:b/>
          <w:bCs/>
          <w:sz w:val="40"/>
          <w:szCs w:val="40"/>
        </w:rPr>
      </w:pPr>
      <w:r>
        <w:br/>
      </w:r>
      <w:r w:rsidR="0050041F">
        <w:br w:type="page"/>
      </w:r>
    </w:p>
    <w:p w14:paraId="63F4743A" w14:textId="77777777" w:rsidR="00B00300" w:rsidRDefault="3D0B5717">
      <w:pPr>
        <w:pStyle w:val="Heading1"/>
        <w:numPr>
          <w:ilvl w:val="0"/>
          <w:numId w:val="2"/>
        </w:numPr>
      </w:pPr>
      <w:bookmarkStart w:id="58" w:name="_Toc228394678"/>
      <w:r>
        <w:lastRenderedPageBreak/>
        <w:t>Introduction</w:t>
      </w:r>
      <w:bookmarkEnd w:id="49"/>
      <w:bookmarkEnd w:id="50"/>
      <w:bookmarkEnd w:id="51"/>
      <w:bookmarkEnd w:id="52"/>
      <w:bookmarkEnd w:id="53"/>
      <w:bookmarkEnd w:id="54"/>
      <w:bookmarkEnd w:id="55"/>
      <w:bookmarkEnd w:id="56"/>
      <w:bookmarkEnd w:id="57"/>
      <w:bookmarkEnd w:id="58"/>
    </w:p>
    <w:p w14:paraId="2AFFEA65" w14:textId="5B51DD9F" w:rsidR="002B4F28" w:rsidRDefault="00AD10F0" w:rsidP="0036499B">
      <w:pPr>
        <w:tabs>
          <w:tab w:val="left" w:pos="1170"/>
        </w:tabs>
      </w:pPr>
      <w:bookmarkStart w:id="59" w:name="_Toc1587424502"/>
      <w:bookmarkStart w:id="60" w:name="_Toc301913104"/>
      <w:bookmarkStart w:id="61" w:name="_Toc683387256"/>
      <w:bookmarkStart w:id="62" w:name="_Toc47603448"/>
      <w:bookmarkStart w:id="63" w:name="_Toc2009585565"/>
      <w:bookmarkStart w:id="64" w:name="_Toc853985056"/>
      <w:bookmarkStart w:id="65" w:name="_Toc1807474"/>
      <w:bookmarkStart w:id="66" w:name="_Toc913455729"/>
      <w:bookmarkStart w:id="67" w:name="_Toc295385644"/>
      <w:r>
        <w:t>In 2025, the International Guide Dog</w:t>
      </w:r>
      <w:r w:rsidR="00446F34">
        <w:t xml:space="preserve"> Federation reported 18,978 guide dog teams working around the world (IGDF </w:t>
      </w:r>
      <w:r w:rsidR="0034381E">
        <w:t>no date</w:t>
      </w:r>
      <w:r w:rsidR="00446F34">
        <w:t xml:space="preserve">). </w:t>
      </w:r>
      <w:r w:rsidR="002B4F28">
        <w:t xml:space="preserve">Canada has 5 </w:t>
      </w:r>
      <w:r w:rsidR="00904866">
        <w:t>accredited</w:t>
      </w:r>
      <w:r w:rsidR="002B4F28">
        <w:t xml:space="preserve"> </w:t>
      </w:r>
      <w:r w:rsidR="00904866">
        <w:t>IGDF programs</w:t>
      </w:r>
      <w:r w:rsidR="001856E1">
        <w:t xml:space="preserve"> according the IGDF database. </w:t>
      </w:r>
      <w:r w:rsidR="00976EE4">
        <w:t xml:space="preserve">Between 2013 and 2014, </w:t>
      </w:r>
      <w:r w:rsidR="006B5008">
        <w:t>9</w:t>
      </w:r>
      <w:r w:rsidR="00D76E35">
        <w:t>18</w:t>
      </w:r>
      <w:r w:rsidR="006B5008">
        <w:t xml:space="preserve"> guide dogs were placed in the United States and Canada across </w:t>
      </w:r>
      <w:r w:rsidR="00441CF5">
        <w:t xml:space="preserve">accredited </w:t>
      </w:r>
      <w:r w:rsidR="00D76E35">
        <w:t xml:space="preserve">facilities </w:t>
      </w:r>
      <w:r w:rsidR="00D73CCC">
        <w:t>(Walt</w:t>
      </w:r>
      <w:r w:rsidR="00046447">
        <w:t>h</w:t>
      </w:r>
      <w:r w:rsidR="00D73CCC">
        <w:t>er et al, 2019).</w:t>
      </w:r>
      <w:r w:rsidR="003E19A4">
        <w:t xml:space="preserve"> </w:t>
      </w:r>
      <w:r w:rsidR="00DD4C89">
        <w:t xml:space="preserve">Walther </w:t>
      </w:r>
      <w:r w:rsidR="00F37276">
        <w:t>et al</w:t>
      </w:r>
      <w:r w:rsidR="00454197">
        <w:t xml:space="preserve">. (2019) </w:t>
      </w:r>
      <w:r w:rsidR="003E19A4">
        <w:t xml:space="preserve">noted that guide dogs were first placed </w:t>
      </w:r>
      <w:r w:rsidR="00454197">
        <w:t xml:space="preserve">disability-related assistance dog </w:t>
      </w:r>
      <w:r w:rsidR="003E19A4">
        <w:t>in</w:t>
      </w:r>
      <w:r w:rsidR="003A5750">
        <w:t xml:space="preserve"> 1929 in the United States, and that long-standing facilities tend to provide </w:t>
      </w:r>
      <w:r w:rsidR="001A4CBC">
        <w:t>the highest number of placements in the US (ibid).</w:t>
      </w:r>
      <w:r w:rsidR="00712050">
        <w:t xml:space="preserve"> At this time there are no exact figures of guide dog handlers in Ca</w:t>
      </w:r>
      <w:r w:rsidR="00B357AD">
        <w:t xml:space="preserve">nada, but an estimate of 1 to 2% of Blind and Low vision Canadians potentially may use a guide dog as a mobility aid. </w:t>
      </w:r>
      <w:r w:rsidR="003128B5">
        <w:t xml:space="preserve">Within their </w:t>
      </w:r>
      <w:r w:rsidR="00A76B40">
        <w:t xml:space="preserve">study, only 2 Canadian facilities responded to the survey in Canada. Furthermore, it </w:t>
      </w:r>
      <w:r w:rsidR="00145B1B">
        <w:t xml:space="preserve">is also well known that many Guide Dog Handlers </w:t>
      </w:r>
      <w:r w:rsidR="006644FF">
        <w:t xml:space="preserve">from Canada </w:t>
      </w:r>
      <w:r w:rsidR="00145B1B">
        <w:t xml:space="preserve">travel to the </w:t>
      </w:r>
      <w:r w:rsidR="006644FF">
        <w:t xml:space="preserve">United </w:t>
      </w:r>
      <w:r w:rsidR="00145B1B">
        <w:t xml:space="preserve">States </w:t>
      </w:r>
      <w:r w:rsidR="006644FF">
        <w:t xml:space="preserve">to </w:t>
      </w:r>
      <w:r w:rsidR="00763CB8">
        <w:t>receive</w:t>
      </w:r>
      <w:r w:rsidR="006644FF">
        <w:t xml:space="preserve"> a guide dog.</w:t>
      </w:r>
    </w:p>
    <w:p w14:paraId="6084E82A" w14:textId="5E0A8044" w:rsidR="00052E36" w:rsidRDefault="00763CB8" w:rsidP="00F0381D">
      <w:pPr>
        <w:rPr>
          <w:lang w:eastAsia="en-CA"/>
        </w:rPr>
      </w:pPr>
      <w:r>
        <w:t>In Canada, there are longstanding</w:t>
      </w:r>
      <w:r w:rsidR="00052E36">
        <w:t xml:space="preserve"> provincial legislative protections and human rights frameworks in Canada</w:t>
      </w:r>
      <w:r w:rsidR="00676BE7">
        <w:t xml:space="preserve">, </w:t>
      </w:r>
      <w:r w:rsidR="00052E36">
        <w:t xml:space="preserve">individuals who rely on guide dogs continue to experience barriers and denials when accessing public places, services, and transportation. Guide dogs have been formally trained and </w:t>
      </w:r>
      <w:r w:rsidR="00052E36">
        <w:lastRenderedPageBreak/>
        <w:t>used internationally for over a century, and organized training in Canada began in 1981 with the establishment of the Mira Foundation</w:t>
      </w:r>
      <w:r w:rsidR="00046447">
        <w:t xml:space="preserve"> in Quebec</w:t>
      </w:r>
      <w:r w:rsidR="00052E36">
        <w:t xml:space="preserve">. Legislative protections for guide dog access predate formal training programs; for example, Ontario enacted the </w:t>
      </w:r>
      <w:r w:rsidR="00052E36">
        <w:rPr>
          <w:i/>
          <w:iCs/>
        </w:rPr>
        <w:t>Blind Persons’ Rights Act</w:t>
      </w:r>
      <w:r w:rsidR="00052E36">
        <w:t xml:space="preserve"> in 1970.  Notwithstanding these historical and legal foundations, access challenges persist in everyday public settings. This report presents findings from a mixed</w:t>
      </w:r>
      <w:r w:rsidR="00052E36">
        <w:noBreakHyphen/>
        <w:t>methods study conducted by the CNIB Research team under a grant from Accessibility Standards Canada (ASC), examining the nature and persistence of guide dog access barriers in Canada and the policy and systems contexts in which they arise (Leighton et al., 2025; Silverman et al., 2022; Zier, 2020).</w:t>
      </w:r>
    </w:p>
    <w:p w14:paraId="564A5BD4" w14:textId="614DE625" w:rsidR="00267AD3" w:rsidRDefault="00A22F29" w:rsidP="00803D9D">
      <w:pPr>
        <w:pStyle w:val="Heading2"/>
      </w:pPr>
      <w:r>
        <w:t xml:space="preserve"> </w:t>
      </w:r>
      <w:bookmarkStart w:id="68" w:name="_Toc228294101"/>
      <w:r w:rsidR="00267AD3">
        <w:t>Guide Dogs</w:t>
      </w:r>
      <w:r w:rsidR="003A5B12">
        <w:t xml:space="preserve">, Assistance, </w:t>
      </w:r>
      <w:r w:rsidR="00267AD3">
        <w:t>Service or Working Dogs</w:t>
      </w:r>
      <w:bookmarkEnd w:id="68"/>
    </w:p>
    <w:p w14:paraId="18D4DBB7" w14:textId="77777777" w:rsidR="00052E36" w:rsidRDefault="00052E36" w:rsidP="00F0381D">
      <w:pPr>
        <w:rPr>
          <w:lang w:eastAsia="en-CA"/>
        </w:rPr>
      </w:pPr>
      <w:r>
        <w:t xml:space="preserve">Questions about what constitutes a “service animal”, and more specifically what defines a guide dog, are central to this research. In undertaking this study, Accessibility Standards Canada (ASC) requested that the research focus primarily on guide dogs rather than on other types of service or working dogs. As a result, animals such as emotional support dogs </w:t>
      </w:r>
      <w:r>
        <w:lastRenderedPageBreak/>
        <w:t>or therapy dogs were excluded from scope, except in cases where their use was directly linked to a documented disability and associated legal protections. Across the issues examined, many access barriers were found to hinge on how guide dogs are defined, recognized, and identified by the public, including businesses and service providers (Leighton et al., 2025; Zier, 2020).</w:t>
      </w:r>
    </w:p>
    <w:p w14:paraId="07621DD1" w14:textId="2A721E0D" w:rsidR="00BE3301" w:rsidRPr="00086C96" w:rsidRDefault="00086C96" w:rsidP="00F0381D">
      <w:r w:rsidRPr="00086C96">
        <w:t xml:space="preserve">A </w:t>
      </w:r>
      <w:r w:rsidR="00BE3301" w:rsidRPr="00086C96">
        <w:t xml:space="preserve">guide dog is typically defined as a service animal (almost always a dog) that has been specially trained to serve as a travel aid for individuals who are blind or visually impaired, providing safe and reliable guidance around obstacles in response to the handler’s commands (Rickly et al., 2021). Canadian law recognizes guide dogs as a distinct category of service animal: for example, Ontario’s </w:t>
      </w:r>
      <w:r w:rsidR="00BE3301" w:rsidRPr="00086C96">
        <w:rPr>
          <w:i/>
          <w:iCs/>
        </w:rPr>
        <w:t>Blind Persons’ Rights Act</w:t>
      </w:r>
      <w:r w:rsidR="00BE3301" w:rsidRPr="00086C96">
        <w:t xml:space="preserve"> explicitly defines a “guide dog” as “a dog trained as a guide for a blind person” (Blind Persons’ Rights Act, R.S.O. 1990, c.</w:t>
      </w:r>
      <w:r w:rsidR="00BE3301" w:rsidRPr="00086C96">
        <w:rPr>
          <w:rFonts w:ascii="Arial" w:hAnsi="Arial" w:cs="Arial"/>
        </w:rPr>
        <w:t> </w:t>
      </w:r>
      <w:r w:rsidR="00BE3301" w:rsidRPr="00086C96">
        <w:t>B.7, s.</w:t>
      </w:r>
      <w:r w:rsidR="00BE3301" w:rsidRPr="00086C96">
        <w:rPr>
          <w:rFonts w:ascii="Arial" w:hAnsi="Arial" w:cs="Arial"/>
        </w:rPr>
        <w:t> </w:t>
      </w:r>
      <w:r w:rsidR="00BE3301" w:rsidRPr="00086C96">
        <w:t>1(1)). This legal definition and others like it highlight that guide dogs are distinguished from other types of service or assistance animals by their specific role in aiding mobility and orientation for those with significant vision loss, as opposed to service animals trained for different tasks (Zier, 2020).</w:t>
      </w:r>
    </w:p>
    <w:p w14:paraId="23CF2316" w14:textId="2031AE14" w:rsidR="00267AD3" w:rsidRPr="00086C96" w:rsidRDefault="00267AD3" w:rsidP="00F0381D">
      <w:r w:rsidRPr="00086C96">
        <w:lastRenderedPageBreak/>
        <w:t xml:space="preserve">Although there is growing concern in Canada and internationally about preventing public access by dogs that are not required for disability-related support, this report deliberately avoids the use of stigmatizing terms such as “fake” or “fraudulent” service animals. </w:t>
      </w:r>
      <w:r w:rsidR="00E016E5" w:rsidRPr="00086C96">
        <w:t xml:space="preserve">This study </w:t>
      </w:r>
      <w:r w:rsidR="00E97B3A" w:rsidRPr="00086C96">
        <w:t xml:space="preserve">explored how legitimacy for </w:t>
      </w:r>
      <w:r w:rsidRPr="00086C96">
        <w:t>working guide dog</w:t>
      </w:r>
      <w:r w:rsidR="00971380" w:rsidRPr="00086C96">
        <w:t>s</w:t>
      </w:r>
      <w:r w:rsidRPr="00086C96">
        <w:t xml:space="preserve"> in public settings is not reliably established through documentation alone, but is more accurately reflected through observable behaviour, handler control, and task performance consistent with established legal and policy definitions of guide dogs and service animals (Americans with Disabilities Act [ADA], 1990; Zier, 2020).</w:t>
      </w:r>
    </w:p>
    <w:p w14:paraId="3A4D955D" w14:textId="1266B636" w:rsidR="00A5786E" w:rsidRPr="00086C96" w:rsidRDefault="00500421" w:rsidP="00803D9D">
      <w:pPr>
        <w:pStyle w:val="Heading2"/>
      </w:pPr>
      <w:r>
        <w:t xml:space="preserve"> </w:t>
      </w:r>
      <w:bookmarkStart w:id="69" w:name="_Toc228294102"/>
      <w:r w:rsidR="00A5786E" w:rsidRPr="00086C96">
        <w:t>Scope</w:t>
      </w:r>
      <w:bookmarkEnd w:id="69"/>
    </w:p>
    <w:p w14:paraId="4B2406EA" w14:textId="77777777" w:rsidR="00052E36" w:rsidRDefault="00052E36" w:rsidP="00F0381D">
      <w:pPr>
        <w:rPr>
          <w:lang w:eastAsia="en-CA"/>
        </w:rPr>
      </w:pPr>
      <w:r>
        <w:t xml:space="preserve">This study focused explicitly on public access standards affecting guide dog handlers, while excluding the development of standards related to the care and training of guide dogs. The purpose of this research is to identify the nature and scope of guide dog access barriers in Canada and to inform policy and practice interventions across federal, provincial, and municipal jurisdictions. While Accessibility Standards Canada operates within a defined federal mandate, the findings are intended to support broader intergovernmental action to improve access outcomes for guide dog handlers. The persistence of access denials has reached what some </w:t>
      </w:r>
      <w:r>
        <w:lastRenderedPageBreak/>
        <w:t>community members describe as a “crisis” precipitating the need for this research (Ballard et al., 2023; Leighton et al., 2025; Silverman et al., 2022).</w:t>
      </w:r>
    </w:p>
    <w:bookmarkEnd w:id="59"/>
    <w:bookmarkEnd w:id="60"/>
    <w:bookmarkEnd w:id="61"/>
    <w:bookmarkEnd w:id="62"/>
    <w:bookmarkEnd w:id="63"/>
    <w:bookmarkEnd w:id="64"/>
    <w:bookmarkEnd w:id="65"/>
    <w:bookmarkEnd w:id="66"/>
    <w:bookmarkEnd w:id="67"/>
    <w:p w14:paraId="3FD94B94" w14:textId="77777777" w:rsidR="00B63891" w:rsidRDefault="00B63891" w:rsidP="00803D9D">
      <w:pPr>
        <w:pStyle w:val="Heading2"/>
        <w:rPr>
          <w:lang w:eastAsia="en-CA"/>
        </w:rPr>
      </w:pPr>
      <w:r>
        <w:t>Study aims and objectives</w:t>
      </w:r>
    </w:p>
    <w:p w14:paraId="4814D573" w14:textId="77777777" w:rsidR="00B65255" w:rsidRDefault="00B65255">
      <w:pPr>
        <w:rPr>
          <w:lang w:eastAsia="en-CA"/>
        </w:rPr>
      </w:pPr>
      <w:r>
        <w:t>The purpose of the study was to determine what guide dog access barriers exist in Canada and to identify interventions that could improve access outcomes for guide dog handlers. A mixed-methods study triangulated data across a legal/policy review, stakeholder engagement, and survey evidence.</w:t>
      </w:r>
    </w:p>
    <w:p w14:paraId="76C2ADCA" w14:textId="17163C1B" w:rsidR="00D404FB" w:rsidRDefault="00BC5789" w:rsidP="00F0381D">
      <w:pPr>
        <w:rPr>
          <w:lang w:eastAsia="en-CA"/>
        </w:rPr>
      </w:pPr>
      <w:r>
        <w:t xml:space="preserve">The study </w:t>
      </w:r>
      <w:r w:rsidR="00847FB2">
        <w:t xml:space="preserve">objectives </w:t>
      </w:r>
      <w:r>
        <w:t>include</w:t>
      </w:r>
      <w:r w:rsidR="004A6446">
        <w:t>d</w:t>
      </w:r>
      <w:r w:rsidR="00D404FB">
        <w:t>:</w:t>
      </w:r>
    </w:p>
    <w:p w14:paraId="29294537" w14:textId="02C69FAC" w:rsidR="000A336D" w:rsidRDefault="3D0B5717">
      <w:pPr>
        <w:pStyle w:val="ListParagraph"/>
        <w:numPr>
          <w:ilvl w:val="0"/>
          <w:numId w:val="1"/>
        </w:numPr>
      </w:pPr>
      <w:r w:rsidRPr="6A0D869D">
        <w:t>Document the extent and contexts of reported access barriers experienced by guide dog handlers across a range of public settings in Canada (including transportation and education), using descriptive survey methods.</w:t>
      </w:r>
    </w:p>
    <w:p w14:paraId="545E3BDA" w14:textId="6014D565" w:rsidR="000A336D" w:rsidRDefault="3D0B5717">
      <w:pPr>
        <w:pStyle w:val="ListParagraph"/>
        <w:numPr>
          <w:ilvl w:val="0"/>
          <w:numId w:val="1"/>
        </w:numPr>
      </w:pPr>
      <w:r w:rsidRPr="6A0D869D">
        <w:t>Characterize mechanisms and lived-experience pathways contributing to access denials (e.g., identification expectations, behavioural standards, enforcement and recourse), using stakeholder engagement, co-design, and focus groups.</w:t>
      </w:r>
    </w:p>
    <w:p w14:paraId="3E2AFEC0" w14:textId="29A6EE11" w:rsidR="000A336D" w:rsidRDefault="3D0B5717">
      <w:pPr>
        <w:pStyle w:val="ListParagraph"/>
        <w:numPr>
          <w:ilvl w:val="0"/>
          <w:numId w:val="1"/>
        </w:numPr>
      </w:pPr>
      <w:r w:rsidRPr="6A0D869D">
        <w:lastRenderedPageBreak/>
        <w:t xml:space="preserve">Establish a baseline synthesis of legal, regulatory, and policy approaches to guide dog access across Canadian jurisdictions and selected international </w:t>
      </w:r>
      <w:r w:rsidR="005020CE" w:rsidRPr="6A0D869D">
        <w:t>comparators and</w:t>
      </w:r>
      <w:r w:rsidRPr="6A0D869D">
        <w:t xml:space="preserve"> identify key points of divergence.</w:t>
      </w:r>
    </w:p>
    <w:p w14:paraId="7B890580" w14:textId="5B3305B3" w:rsidR="00420556" w:rsidRDefault="00420556">
      <w:pPr>
        <w:pStyle w:val="ListParagraph"/>
        <w:numPr>
          <w:ilvl w:val="0"/>
          <w:numId w:val="1"/>
        </w:numPr>
        <w:rPr>
          <w:lang w:eastAsia="en-CA"/>
        </w:rPr>
      </w:pPr>
      <w:r>
        <w:t>Identify policy and practice</w:t>
      </w:r>
      <w:r w:rsidR="00355DE4">
        <w:t xml:space="preserve">s </w:t>
      </w:r>
      <w:r>
        <w:t>(across jurisdictions and sectors) that the evidence suggests could reduce access denials and support social participation for guide dog handlers.</w:t>
      </w:r>
    </w:p>
    <w:p w14:paraId="4780A38C" w14:textId="0B83F714" w:rsidR="00D404FB" w:rsidRDefault="00D404FB" w:rsidP="00F0381D">
      <w:pPr>
        <w:rPr>
          <w:lang w:eastAsia="en-CA"/>
        </w:rPr>
      </w:pPr>
      <w:r>
        <w:t>Public access is defined here as access to venues, facilities, programs, and services open to the public (e.g., restaurants, retail, recreation, healthcare, places of worship), including transportation (taxis/ride-share, air, rail, bus, ferry) and access to housing, education, and employment settings.</w:t>
      </w:r>
      <w:bookmarkStart w:id="70" w:name="_Toc1568237883"/>
      <w:bookmarkStart w:id="71" w:name="_Toc154819921"/>
      <w:bookmarkStart w:id="72" w:name="_Toc763981010"/>
      <w:bookmarkStart w:id="73" w:name="_Toc2133921102"/>
      <w:bookmarkStart w:id="74" w:name="_Toc1628398326"/>
      <w:bookmarkStart w:id="75" w:name="_Toc174940537"/>
      <w:bookmarkStart w:id="76" w:name="_Toc1596977671"/>
      <w:bookmarkStart w:id="77" w:name="_Toc623116743"/>
      <w:bookmarkStart w:id="78" w:name="_Toc2116041492"/>
      <w:r w:rsidR="000F322D">
        <w:t xml:space="preserve"> </w:t>
      </w:r>
      <w:r w:rsidR="00D06467">
        <w:t>Anecdotally, w</w:t>
      </w:r>
      <w:r w:rsidR="00F433A8">
        <w:t xml:space="preserve">ithin the </w:t>
      </w:r>
      <w:r w:rsidR="00B864B9">
        <w:t xml:space="preserve">guide dog handler’s </w:t>
      </w:r>
      <w:r w:rsidR="00F433A8">
        <w:t xml:space="preserve">community there is </w:t>
      </w:r>
      <w:r w:rsidR="00D06467">
        <w:t xml:space="preserve">growing </w:t>
      </w:r>
      <w:r>
        <w:t xml:space="preserve">concern </w:t>
      </w:r>
      <w:r w:rsidR="00D06467">
        <w:t xml:space="preserve">regarding </w:t>
      </w:r>
      <w:r>
        <w:t>expectations for handlers to “prove” legitimacy (e.g., by producing identification)</w:t>
      </w:r>
      <w:r w:rsidR="00653391">
        <w:t xml:space="preserve">, </w:t>
      </w:r>
      <w:r>
        <w:t>uneven enforcement and slow recourse mechanisms when access denials occur.</w:t>
      </w:r>
    </w:p>
    <w:p w14:paraId="73349C4C" w14:textId="5B68F3D6" w:rsidR="000A336D" w:rsidRDefault="3D0B5717">
      <w:pPr>
        <w:pStyle w:val="Heading1"/>
        <w:numPr>
          <w:ilvl w:val="0"/>
          <w:numId w:val="2"/>
        </w:numPr>
        <w:rPr>
          <w:kern w:val="36"/>
          <w:sz w:val="32"/>
          <w:szCs w:val="32"/>
        </w:rPr>
      </w:pPr>
      <w:bookmarkStart w:id="79" w:name="_Toc228394679"/>
      <w:r>
        <w:lastRenderedPageBreak/>
        <w:t>Methods</w:t>
      </w:r>
      <w:bookmarkEnd w:id="70"/>
      <w:bookmarkEnd w:id="71"/>
      <w:bookmarkEnd w:id="72"/>
      <w:bookmarkEnd w:id="73"/>
      <w:bookmarkEnd w:id="74"/>
      <w:bookmarkEnd w:id="75"/>
      <w:bookmarkEnd w:id="76"/>
      <w:bookmarkEnd w:id="77"/>
      <w:bookmarkEnd w:id="78"/>
      <w:bookmarkEnd w:id="79"/>
    </w:p>
    <w:p w14:paraId="445CF5E3" w14:textId="4394CC61" w:rsidR="000A336D" w:rsidRDefault="3D0B5717" w:rsidP="00803D9D">
      <w:pPr>
        <w:pStyle w:val="Heading2"/>
        <w:rPr>
          <w:sz w:val="30"/>
          <w:szCs w:val="30"/>
        </w:rPr>
      </w:pPr>
      <w:bookmarkStart w:id="80" w:name="_Toc1842662169"/>
      <w:bookmarkStart w:id="81" w:name="_Toc807351799"/>
      <w:bookmarkStart w:id="82" w:name="_Toc827427067"/>
      <w:bookmarkStart w:id="83" w:name="_Toc278599043"/>
      <w:bookmarkStart w:id="84" w:name="_Toc1882589217"/>
      <w:bookmarkStart w:id="85" w:name="_Toc1649986126"/>
      <w:bookmarkStart w:id="86" w:name="_Toc1368023357"/>
      <w:bookmarkStart w:id="87" w:name="_Toc1423681348"/>
      <w:bookmarkStart w:id="88" w:name="_Toc265264133"/>
      <w:bookmarkStart w:id="89" w:name="_Toc228294104"/>
      <w:r>
        <w:t>Study design</w:t>
      </w:r>
      <w:bookmarkEnd w:id="80"/>
      <w:bookmarkEnd w:id="81"/>
      <w:bookmarkEnd w:id="82"/>
      <w:bookmarkEnd w:id="83"/>
      <w:bookmarkEnd w:id="84"/>
      <w:bookmarkEnd w:id="85"/>
      <w:bookmarkEnd w:id="86"/>
      <w:bookmarkEnd w:id="87"/>
      <w:bookmarkEnd w:id="88"/>
      <w:bookmarkEnd w:id="89"/>
    </w:p>
    <w:p w14:paraId="3468733E" w14:textId="77777777" w:rsidR="00DF48C0" w:rsidRDefault="00DF48C0">
      <w:pPr>
        <w:rPr>
          <w:lang w:eastAsia="en-CA"/>
        </w:rPr>
      </w:pPr>
      <w:r>
        <w:t>The study used a mixed-methods approach combining: (1) a jurisdictional scan of legislation, regulations, and policies; (2) stakeholder engagement via an advisory committee and co-design sessions and focus groups; (3) survey research with guide dog handlers; (4) a national public attitudes survey; and (5) key informant interviews with regulators and transportation service providers. The study was designed and guided by researchers with lived experience and the advisory committee, helped identify research priorities, review results and draft final recommendations.</w:t>
      </w:r>
    </w:p>
    <w:p w14:paraId="7AC40037" w14:textId="77777777" w:rsidR="00AA227E" w:rsidRDefault="00AA227E" w:rsidP="00803D9D">
      <w:pPr>
        <w:pStyle w:val="Heading2"/>
        <w:rPr>
          <w:lang w:eastAsia="en-CA"/>
        </w:rPr>
      </w:pPr>
      <w:r>
        <w:t>Data sources and Participants</w:t>
      </w:r>
    </w:p>
    <w:p w14:paraId="45C6518E" w14:textId="77777777" w:rsidR="004174A2" w:rsidRDefault="004174A2">
      <w:pPr>
        <w:rPr>
          <w:lang w:eastAsia="en-CA"/>
        </w:rPr>
      </w:pPr>
      <w:r>
        <w:t>Participants were recruited from disability service-providers and Canadian guide-dog networks. A diversity of perspectives and regional representations were specifically sought to help reflect the diversity of Canadian communities. For confidentiality reasons, demographic characteristics are represented in aggregate percentages due to the small population size of guide dog handlers in Canada.</w:t>
      </w:r>
    </w:p>
    <w:p w14:paraId="47B3CE3B" w14:textId="5D1809A2" w:rsidR="00492374" w:rsidRDefault="00492374" w:rsidP="00262CFB">
      <w:pPr>
        <w:ind w:firstLine="0"/>
        <w:rPr>
          <w:szCs w:val="18"/>
        </w:rPr>
      </w:pPr>
    </w:p>
    <w:p w14:paraId="31A2827B" w14:textId="095FC50F" w:rsidR="003B0C12" w:rsidRPr="004A57D2" w:rsidRDefault="003B0C12" w:rsidP="004A57D2">
      <w:pPr>
        <w:pStyle w:val="Caption"/>
        <w:rPr>
          <w:b w:val="0"/>
          <w:bCs/>
        </w:rPr>
      </w:pPr>
      <w:bookmarkStart w:id="90" w:name="_Toc228387190"/>
      <w:r w:rsidRPr="00F551CA">
        <w:rPr>
          <w:i w:val="0"/>
          <w:iCs w:val="0"/>
        </w:rPr>
        <w:t xml:space="preserve">Table </w:t>
      </w:r>
      <w:r w:rsidR="00085764" w:rsidRPr="00F551CA">
        <w:rPr>
          <w:i w:val="0"/>
          <w:iCs w:val="0"/>
        </w:rPr>
        <w:fldChar w:fldCharType="begin"/>
      </w:r>
      <w:r w:rsidR="00085764" w:rsidRPr="00F551CA">
        <w:rPr>
          <w:i w:val="0"/>
          <w:iCs w:val="0"/>
        </w:rPr>
        <w:instrText xml:space="preserve"> SEQ Table \* ARABIC </w:instrText>
      </w:r>
      <w:r w:rsidR="00085764" w:rsidRPr="00F551CA">
        <w:rPr>
          <w:i w:val="0"/>
          <w:iCs w:val="0"/>
        </w:rPr>
        <w:fldChar w:fldCharType="separate"/>
      </w:r>
      <w:r w:rsidR="00C06BF6">
        <w:rPr>
          <w:i w:val="0"/>
          <w:iCs w:val="0"/>
          <w:noProof/>
        </w:rPr>
        <w:t>1</w:t>
      </w:r>
      <w:r w:rsidR="00085764" w:rsidRPr="00F551CA">
        <w:rPr>
          <w:i w:val="0"/>
          <w:iCs w:val="0"/>
          <w:noProof/>
        </w:rPr>
        <w:fldChar w:fldCharType="end"/>
      </w:r>
      <w:r w:rsidR="004A57D2">
        <w:rPr>
          <w:noProof/>
        </w:rPr>
        <w:br/>
      </w:r>
      <w:r>
        <w:t xml:space="preserve"> </w:t>
      </w:r>
      <w:r w:rsidR="00FE66E2" w:rsidRPr="004A57D2">
        <w:rPr>
          <w:b w:val="0"/>
          <w:bCs/>
        </w:rPr>
        <w:t xml:space="preserve">Demographic Characteristics from </w:t>
      </w:r>
      <w:r w:rsidR="00640D46" w:rsidRPr="004A57D2">
        <w:rPr>
          <w:b w:val="0"/>
          <w:bCs/>
        </w:rPr>
        <w:t xml:space="preserve">Guide Dog Handlers Experiences Survey </w:t>
      </w:r>
      <w:r w:rsidR="00FE66E2" w:rsidRPr="004A57D2">
        <w:rPr>
          <w:b w:val="0"/>
          <w:bCs/>
        </w:rPr>
        <w:t>2022 (n</w:t>
      </w:r>
      <w:r w:rsidRPr="004A57D2">
        <w:rPr>
          <w:b w:val="0"/>
          <w:bCs/>
        </w:rPr>
        <w:t>=546 complete responses)</w:t>
      </w:r>
      <w:bookmarkEnd w:id="90"/>
    </w:p>
    <w:tbl>
      <w:tblPr>
        <w:tblStyle w:val="ListTable3"/>
        <w:tblW w:w="5000" w:type="pct"/>
        <w:tblLook w:val="04A0" w:firstRow="1" w:lastRow="0" w:firstColumn="1" w:lastColumn="0" w:noHBand="0" w:noVBand="1"/>
      </w:tblPr>
      <w:tblGrid>
        <w:gridCol w:w="6138"/>
        <w:gridCol w:w="3438"/>
      </w:tblGrid>
      <w:tr w:rsidR="00E857D2" w14:paraId="32FA7336" w14:textId="77777777" w:rsidTr="003913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5" w:type="pct"/>
          </w:tcPr>
          <w:p w14:paraId="53EF20B4" w14:textId="1B2CE01C" w:rsidR="00E857D2" w:rsidRDefault="00E857D2" w:rsidP="00F0381D">
            <w:r w:rsidRPr="001113DB">
              <w:t>Canadian province distribution</w:t>
            </w:r>
          </w:p>
        </w:tc>
        <w:tc>
          <w:tcPr>
            <w:tcW w:w="1795" w:type="pct"/>
          </w:tcPr>
          <w:p w14:paraId="0973E1A5" w14:textId="77777777" w:rsidR="0014182C" w:rsidRDefault="0014182C">
            <w:pPr>
              <w:cnfStyle w:val="100000000000" w:firstRow="1" w:lastRow="0" w:firstColumn="0" w:lastColumn="0" w:oddVBand="0" w:evenVBand="0" w:oddHBand="0" w:evenHBand="0" w:firstRowFirstColumn="0" w:firstRowLastColumn="0" w:lastRowFirstColumn="0" w:lastRowLastColumn="0"/>
              <w:rPr>
                <w:lang w:eastAsia="en-CA"/>
              </w:rPr>
            </w:pPr>
            <w:r>
              <w:rPr>
                <w:b w:val="0"/>
                <w:bCs w:val="0"/>
                <w:color w:val="FFFFFF"/>
              </w:rPr>
              <w:t>Percent of total respondents</w:t>
            </w:r>
          </w:p>
          <w:p w14:paraId="17C6716F" w14:textId="39B37177" w:rsidR="00E857D2" w:rsidRDefault="00E857D2" w:rsidP="00F0381D">
            <w:pPr>
              <w:cnfStyle w:val="100000000000" w:firstRow="1" w:lastRow="0" w:firstColumn="0" w:lastColumn="0" w:oddVBand="0" w:evenVBand="0" w:oddHBand="0" w:evenHBand="0" w:firstRowFirstColumn="0" w:firstRowLastColumn="0" w:lastRowFirstColumn="0" w:lastRowLastColumn="0"/>
            </w:pPr>
          </w:p>
        </w:tc>
      </w:tr>
      <w:tr w:rsidR="000A336D" w14:paraId="4C2D16B2"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6D58B23A" w14:textId="77777777" w:rsidR="000A336D" w:rsidRDefault="000A336D" w:rsidP="00F0381D">
            <w:pPr>
              <w:rPr>
                <w:rFonts w:eastAsia="Verdana"/>
              </w:rPr>
            </w:pPr>
            <w:r>
              <w:t>Ontario</w:t>
            </w:r>
          </w:p>
        </w:tc>
        <w:tc>
          <w:tcPr>
            <w:tcW w:w="1795" w:type="pct"/>
            <w:hideMark/>
          </w:tcPr>
          <w:p w14:paraId="7EBA4D1C"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44.3%</w:t>
            </w:r>
          </w:p>
        </w:tc>
      </w:tr>
      <w:tr w:rsidR="000A336D" w14:paraId="3D12068D"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78CC7750" w14:textId="77777777" w:rsidR="000A336D" w:rsidRDefault="000A336D" w:rsidP="00F0381D">
            <w:r>
              <w:t>British Columbia</w:t>
            </w:r>
          </w:p>
        </w:tc>
        <w:tc>
          <w:tcPr>
            <w:tcW w:w="1795" w:type="pct"/>
            <w:hideMark/>
          </w:tcPr>
          <w:p w14:paraId="570A314C"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21.7%</w:t>
            </w:r>
          </w:p>
        </w:tc>
      </w:tr>
      <w:tr w:rsidR="000A336D" w14:paraId="74F9FD60"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7792362C" w14:textId="77777777" w:rsidR="000A336D" w:rsidRDefault="000A336D" w:rsidP="00F0381D">
            <w:r>
              <w:t>Alberta</w:t>
            </w:r>
          </w:p>
        </w:tc>
        <w:tc>
          <w:tcPr>
            <w:tcW w:w="1795" w:type="pct"/>
            <w:hideMark/>
          </w:tcPr>
          <w:p w14:paraId="3F3525DA"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9.6%</w:t>
            </w:r>
          </w:p>
        </w:tc>
      </w:tr>
      <w:tr w:rsidR="000A336D" w14:paraId="5FE7C5A5"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357A3C45" w14:textId="77777777" w:rsidR="000A336D" w:rsidRDefault="000A336D" w:rsidP="00F0381D">
            <w:r>
              <w:t>Manitoba</w:t>
            </w:r>
          </w:p>
        </w:tc>
        <w:tc>
          <w:tcPr>
            <w:tcW w:w="1795" w:type="pct"/>
            <w:hideMark/>
          </w:tcPr>
          <w:p w14:paraId="2D66E83A"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6.5%</w:t>
            </w:r>
          </w:p>
        </w:tc>
      </w:tr>
      <w:tr w:rsidR="000A336D" w14:paraId="4CC1EE43"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59963D35" w14:textId="77777777" w:rsidR="000A336D" w:rsidRDefault="000A336D" w:rsidP="00F0381D">
            <w:r>
              <w:t>New Brunswick</w:t>
            </w:r>
          </w:p>
        </w:tc>
        <w:tc>
          <w:tcPr>
            <w:tcW w:w="1795" w:type="pct"/>
            <w:hideMark/>
          </w:tcPr>
          <w:p w14:paraId="73B6F42A"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4.5%</w:t>
            </w:r>
          </w:p>
        </w:tc>
      </w:tr>
      <w:tr w:rsidR="000A336D" w14:paraId="78CE7F8C"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46DE55AF" w14:textId="77777777" w:rsidR="000A336D" w:rsidRDefault="000A336D" w:rsidP="00F0381D">
            <w:r>
              <w:t>Nova Scotia</w:t>
            </w:r>
          </w:p>
        </w:tc>
        <w:tc>
          <w:tcPr>
            <w:tcW w:w="1795" w:type="pct"/>
            <w:hideMark/>
          </w:tcPr>
          <w:p w14:paraId="5A89F024"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3.3%</w:t>
            </w:r>
          </w:p>
        </w:tc>
      </w:tr>
      <w:tr w:rsidR="000A336D" w14:paraId="44BB8B34"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25002256" w14:textId="77777777" w:rsidR="000A336D" w:rsidRDefault="000A336D" w:rsidP="00F0381D">
            <w:r>
              <w:t>Saskatchewan</w:t>
            </w:r>
          </w:p>
        </w:tc>
        <w:tc>
          <w:tcPr>
            <w:tcW w:w="1795" w:type="pct"/>
            <w:hideMark/>
          </w:tcPr>
          <w:p w14:paraId="1131F61E"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3.0%</w:t>
            </w:r>
          </w:p>
        </w:tc>
      </w:tr>
      <w:tr w:rsidR="000A336D" w14:paraId="52306F7C"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69D82D78" w14:textId="77777777" w:rsidR="000A336D" w:rsidRDefault="000A336D" w:rsidP="00F0381D">
            <w:r>
              <w:t>Quebec</w:t>
            </w:r>
          </w:p>
        </w:tc>
        <w:tc>
          <w:tcPr>
            <w:tcW w:w="1795" w:type="pct"/>
            <w:hideMark/>
          </w:tcPr>
          <w:p w14:paraId="25553DCC"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2.8%</w:t>
            </w:r>
          </w:p>
        </w:tc>
      </w:tr>
      <w:tr w:rsidR="000A336D" w14:paraId="1CBA56F7"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2731C09D" w14:textId="77777777" w:rsidR="000A336D" w:rsidRDefault="000A336D" w:rsidP="00F0381D">
            <w:r>
              <w:t>Newfoundland and Labrador</w:t>
            </w:r>
          </w:p>
        </w:tc>
        <w:tc>
          <w:tcPr>
            <w:tcW w:w="1795" w:type="pct"/>
            <w:hideMark/>
          </w:tcPr>
          <w:p w14:paraId="3AB71556"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2.0%</w:t>
            </w:r>
          </w:p>
        </w:tc>
      </w:tr>
      <w:tr w:rsidR="000A336D" w14:paraId="4D4EB6BF"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33A70996" w14:textId="77777777" w:rsidR="000A336D" w:rsidRDefault="000A336D" w:rsidP="00F0381D">
            <w:r>
              <w:t>Prince Edward Island</w:t>
            </w:r>
          </w:p>
        </w:tc>
        <w:tc>
          <w:tcPr>
            <w:tcW w:w="1795" w:type="pct"/>
            <w:hideMark/>
          </w:tcPr>
          <w:p w14:paraId="2A27A0C0"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1.0%</w:t>
            </w:r>
          </w:p>
        </w:tc>
      </w:tr>
      <w:tr w:rsidR="000A336D" w14:paraId="56ACF99F"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5FC5A4C9" w14:textId="77777777" w:rsidR="000A336D" w:rsidRDefault="000A336D" w:rsidP="00F0381D">
            <w:r>
              <w:t>Nunavut</w:t>
            </w:r>
          </w:p>
        </w:tc>
        <w:tc>
          <w:tcPr>
            <w:tcW w:w="1795" w:type="pct"/>
            <w:hideMark/>
          </w:tcPr>
          <w:p w14:paraId="3C4FA656"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0.8%</w:t>
            </w:r>
          </w:p>
        </w:tc>
      </w:tr>
      <w:tr w:rsidR="000A336D" w14:paraId="5610DBC4"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44F1346F" w14:textId="77777777" w:rsidR="000A336D" w:rsidRDefault="000A336D" w:rsidP="00F0381D">
            <w:r>
              <w:t>Northwest Territories</w:t>
            </w:r>
          </w:p>
        </w:tc>
        <w:tc>
          <w:tcPr>
            <w:tcW w:w="1795" w:type="pct"/>
            <w:hideMark/>
          </w:tcPr>
          <w:p w14:paraId="747560D6"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0.2%</w:t>
            </w:r>
          </w:p>
        </w:tc>
      </w:tr>
      <w:tr w:rsidR="000A336D" w14:paraId="2206B333"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5FCBC8F1" w14:textId="77777777" w:rsidR="000A336D" w:rsidRDefault="000A336D" w:rsidP="00F0381D">
            <w:r>
              <w:lastRenderedPageBreak/>
              <w:t>Yukon</w:t>
            </w:r>
          </w:p>
        </w:tc>
        <w:tc>
          <w:tcPr>
            <w:tcW w:w="1795" w:type="pct"/>
            <w:hideMark/>
          </w:tcPr>
          <w:p w14:paraId="27E89E1E"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0.2%</w:t>
            </w:r>
          </w:p>
        </w:tc>
      </w:tr>
      <w:tr w:rsidR="00E857D2" w14:paraId="01D6F9EF" w14:textId="77777777" w:rsidTr="00391371">
        <w:tc>
          <w:tcPr>
            <w:cnfStyle w:val="001000000000" w:firstRow="0" w:lastRow="0" w:firstColumn="1" w:lastColumn="0" w:oddVBand="0" w:evenVBand="0" w:oddHBand="0" w:evenHBand="0" w:firstRowFirstColumn="0" w:firstRowLastColumn="0" w:lastRowFirstColumn="0" w:lastRowLastColumn="0"/>
            <w:tcW w:w="3205" w:type="pct"/>
            <w:shd w:val="clear" w:color="auto" w:fill="000000" w:themeFill="text1"/>
          </w:tcPr>
          <w:p w14:paraId="49B433D2" w14:textId="6B22309D" w:rsidR="00E857D2" w:rsidRDefault="00E857D2" w:rsidP="00F0381D">
            <w:r>
              <w:t>Community size</w:t>
            </w:r>
          </w:p>
        </w:tc>
        <w:tc>
          <w:tcPr>
            <w:tcW w:w="1795" w:type="pct"/>
            <w:shd w:val="clear" w:color="auto" w:fill="000000" w:themeFill="text1"/>
          </w:tcPr>
          <w:p w14:paraId="2134CE31" w14:textId="164C0CEB" w:rsidR="00E857D2" w:rsidRPr="00AE1949" w:rsidRDefault="00E857D2" w:rsidP="00F0381D">
            <w:pPr>
              <w:cnfStyle w:val="000000000000" w:firstRow="0" w:lastRow="0" w:firstColumn="0" w:lastColumn="0" w:oddVBand="0" w:evenVBand="0" w:oddHBand="0" w:evenHBand="0" w:firstRowFirstColumn="0" w:firstRowLastColumn="0" w:lastRowFirstColumn="0" w:lastRowLastColumn="0"/>
            </w:pPr>
            <w:r w:rsidRPr="00AE1949">
              <w:t>Percent of total respondents</w:t>
            </w:r>
          </w:p>
        </w:tc>
      </w:tr>
      <w:tr w:rsidR="000A336D" w14:paraId="53E58046"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5B315E24" w14:textId="77777777" w:rsidR="000A336D" w:rsidRDefault="000A336D" w:rsidP="00F0381D">
            <w:pPr>
              <w:rPr>
                <w:rFonts w:eastAsia="Verdana"/>
              </w:rPr>
            </w:pPr>
            <w:r>
              <w:t>City</w:t>
            </w:r>
          </w:p>
        </w:tc>
        <w:tc>
          <w:tcPr>
            <w:tcW w:w="1795" w:type="pct"/>
            <w:hideMark/>
          </w:tcPr>
          <w:p w14:paraId="0FF5630C"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36.4%</w:t>
            </w:r>
          </w:p>
        </w:tc>
      </w:tr>
      <w:tr w:rsidR="000A336D" w14:paraId="58713754"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2676F11F" w14:textId="77777777" w:rsidR="000A336D" w:rsidRDefault="000A336D" w:rsidP="00F0381D">
            <w:r>
              <w:t>Large city</w:t>
            </w:r>
          </w:p>
        </w:tc>
        <w:tc>
          <w:tcPr>
            <w:tcW w:w="1795" w:type="pct"/>
            <w:hideMark/>
          </w:tcPr>
          <w:p w14:paraId="3C0CF71F"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21.3%</w:t>
            </w:r>
          </w:p>
        </w:tc>
      </w:tr>
      <w:tr w:rsidR="000A336D" w14:paraId="272E169C"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0A646DE8" w14:textId="77777777" w:rsidR="000A336D" w:rsidRDefault="000A336D" w:rsidP="00F0381D">
            <w:r>
              <w:t>Town</w:t>
            </w:r>
          </w:p>
        </w:tc>
        <w:tc>
          <w:tcPr>
            <w:tcW w:w="1795" w:type="pct"/>
            <w:hideMark/>
          </w:tcPr>
          <w:p w14:paraId="49D90F55"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16.5%</w:t>
            </w:r>
          </w:p>
        </w:tc>
      </w:tr>
      <w:tr w:rsidR="000A336D" w14:paraId="6B990F11"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2E261346" w14:textId="77777777" w:rsidR="000A336D" w:rsidRDefault="000A336D" w:rsidP="00F0381D">
            <w:r>
              <w:t>Small town</w:t>
            </w:r>
          </w:p>
        </w:tc>
        <w:tc>
          <w:tcPr>
            <w:tcW w:w="1795" w:type="pct"/>
            <w:hideMark/>
          </w:tcPr>
          <w:p w14:paraId="05BE2B8A"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13.3%</w:t>
            </w:r>
          </w:p>
        </w:tc>
      </w:tr>
      <w:tr w:rsidR="000A336D" w14:paraId="45C375A7"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69E3F962" w14:textId="77777777" w:rsidR="000A336D" w:rsidRDefault="000A336D" w:rsidP="00F0381D">
            <w:r>
              <w:t>Village</w:t>
            </w:r>
          </w:p>
        </w:tc>
        <w:tc>
          <w:tcPr>
            <w:tcW w:w="1795" w:type="pct"/>
            <w:hideMark/>
          </w:tcPr>
          <w:p w14:paraId="69E30854"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11.5%</w:t>
            </w:r>
          </w:p>
        </w:tc>
      </w:tr>
      <w:tr w:rsidR="002E4874" w14:paraId="2C90B058" w14:textId="77777777" w:rsidTr="00AE1949">
        <w:tc>
          <w:tcPr>
            <w:cnfStyle w:val="001000000000" w:firstRow="0" w:lastRow="0" w:firstColumn="1" w:lastColumn="0" w:oddVBand="0" w:evenVBand="0" w:oddHBand="0" w:evenHBand="0" w:firstRowFirstColumn="0" w:firstRowLastColumn="0" w:lastRowFirstColumn="0" w:lastRowLastColumn="0"/>
            <w:tcW w:w="3205" w:type="pct"/>
            <w:shd w:val="clear" w:color="auto" w:fill="000000" w:themeFill="text1"/>
          </w:tcPr>
          <w:p w14:paraId="381700AA" w14:textId="2BA61406" w:rsidR="002E4874" w:rsidRPr="00AE1949" w:rsidRDefault="002E4874" w:rsidP="00F0381D">
            <w:r w:rsidRPr="00AE1949">
              <w:t>Guide dog status and experience</w:t>
            </w:r>
          </w:p>
        </w:tc>
        <w:tc>
          <w:tcPr>
            <w:tcW w:w="1795" w:type="pct"/>
            <w:shd w:val="clear" w:color="auto" w:fill="000000" w:themeFill="text1"/>
          </w:tcPr>
          <w:p w14:paraId="65814DC0" w14:textId="1A97B6F6" w:rsidR="002E4874" w:rsidRPr="00AE1949" w:rsidRDefault="002E4874" w:rsidP="00F0381D">
            <w:pPr>
              <w:cnfStyle w:val="000000000000" w:firstRow="0" w:lastRow="0" w:firstColumn="0" w:lastColumn="0" w:oddVBand="0" w:evenVBand="0" w:oddHBand="0" w:evenHBand="0" w:firstRowFirstColumn="0" w:firstRowLastColumn="0" w:lastRowFirstColumn="0" w:lastRowLastColumn="0"/>
            </w:pPr>
            <w:r w:rsidRPr="00AE1949">
              <w:t>Percent of total respondents</w:t>
            </w:r>
          </w:p>
        </w:tc>
      </w:tr>
      <w:tr w:rsidR="000A336D" w14:paraId="2524A59E"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70948CA8" w14:textId="77777777" w:rsidR="000A336D" w:rsidRDefault="000A336D" w:rsidP="00F0381D">
            <w:pPr>
              <w:rPr>
                <w:rFonts w:eastAsia="Verdana"/>
              </w:rPr>
            </w:pPr>
            <w:r>
              <w:t>Currently working a guide dog (Yes)</w:t>
            </w:r>
          </w:p>
        </w:tc>
        <w:tc>
          <w:tcPr>
            <w:tcW w:w="1795" w:type="pct"/>
            <w:hideMark/>
          </w:tcPr>
          <w:p w14:paraId="0DE4FF59"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45.6%</w:t>
            </w:r>
          </w:p>
        </w:tc>
      </w:tr>
      <w:tr w:rsidR="000A336D" w14:paraId="1CE5402E"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09F25F4A" w14:textId="77777777" w:rsidR="000A336D" w:rsidRDefault="000A336D" w:rsidP="00F0381D">
            <w:r>
              <w:t>Currently working a guide dog (No)</w:t>
            </w:r>
          </w:p>
        </w:tc>
        <w:tc>
          <w:tcPr>
            <w:tcW w:w="1795" w:type="pct"/>
            <w:hideMark/>
          </w:tcPr>
          <w:p w14:paraId="323E58E6"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54.4%</w:t>
            </w:r>
          </w:p>
        </w:tc>
      </w:tr>
      <w:tr w:rsidR="000A336D" w14:paraId="2C9309A2"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163CA79B" w14:textId="77777777" w:rsidR="00D404FB" w:rsidRDefault="00D404FB" w:rsidP="00F0381D">
            <w:pPr>
              <w:rPr>
                <w:lang w:eastAsia="en-CA"/>
              </w:rPr>
            </w:pPr>
            <w:r>
              <w:rPr>
                <w:rFonts w:hint="eastAsia"/>
              </w:rPr>
              <w:t>Working a guide dog for ≤3 years (including</w:t>
            </w:r>
            <w:r>
              <w:t xml:space="preserve"> &lt;1 year)</w:t>
            </w:r>
          </w:p>
          <w:p w14:paraId="21DBE946" w14:textId="742A4F99" w:rsidR="000A336D" w:rsidRDefault="000A336D" w:rsidP="00F0381D"/>
        </w:tc>
        <w:tc>
          <w:tcPr>
            <w:tcW w:w="1795" w:type="pct"/>
            <w:hideMark/>
          </w:tcPr>
          <w:p w14:paraId="0C90DDA0"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36.4%</w:t>
            </w:r>
          </w:p>
        </w:tc>
      </w:tr>
      <w:tr w:rsidR="000A336D" w14:paraId="4459F01C"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394E9A89" w14:textId="77777777" w:rsidR="00D404FB" w:rsidRDefault="00D404FB" w:rsidP="00F0381D">
            <w:pPr>
              <w:rPr>
                <w:lang w:eastAsia="en-CA"/>
              </w:rPr>
            </w:pPr>
            <w:r>
              <w:rPr>
                <w:rFonts w:hint="eastAsia"/>
              </w:rPr>
              <w:t>Working a guide dog for ≥4–6 years</w:t>
            </w:r>
          </w:p>
          <w:p w14:paraId="1FE562C5" w14:textId="315231D6" w:rsidR="000A336D" w:rsidRDefault="000A336D" w:rsidP="00F0381D"/>
        </w:tc>
        <w:tc>
          <w:tcPr>
            <w:tcW w:w="1795" w:type="pct"/>
            <w:hideMark/>
          </w:tcPr>
          <w:p w14:paraId="3E0AEE04"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63.6%</w:t>
            </w:r>
          </w:p>
        </w:tc>
      </w:tr>
      <w:tr w:rsidR="002E4874" w14:paraId="215B2602" w14:textId="77777777" w:rsidTr="00AE19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05" w:type="pct"/>
            <w:shd w:val="clear" w:color="auto" w:fill="000000" w:themeFill="text1"/>
          </w:tcPr>
          <w:p w14:paraId="60AFE307" w14:textId="0DDE723E" w:rsidR="002E4874" w:rsidRPr="00321001" w:rsidRDefault="002E4874" w:rsidP="00F0381D">
            <w:r w:rsidRPr="00321001">
              <w:t>Age (by decade)</w:t>
            </w:r>
          </w:p>
        </w:tc>
        <w:tc>
          <w:tcPr>
            <w:tcW w:w="1795" w:type="pct"/>
            <w:shd w:val="clear" w:color="auto" w:fill="000000" w:themeFill="text1"/>
          </w:tcPr>
          <w:p w14:paraId="56A55FDB" w14:textId="160290F1" w:rsidR="002E4874" w:rsidRPr="00321001" w:rsidRDefault="002E4874" w:rsidP="00F0381D">
            <w:pPr>
              <w:cnfStyle w:val="000000100000" w:firstRow="0" w:lastRow="0" w:firstColumn="0" w:lastColumn="0" w:oddVBand="0" w:evenVBand="0" w:oddHBand="1" w:evenHBand="0" w:firstRowFirstColumn="0" w:firstRowLastColumn="0" w:lastRowFirstColumn="0" w:lastRowLastColumn="0"/>
            </w:pPr>
            <w:r w:rsidRPr="00321001">
              <w:t>Percent of total respondents</w:t>
            </w:r>
          </w:p>
        </w:tc>
      </w:tr>
      <w:tr w:rsidR="000A336D" w14:paraId="043FCBEE"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6322E484" w14:textId="77777777" w:rsidR="000A336D" w:rsidRDefault="000A336D" w:rsidP="00F0381D">
            <w:pPr>
              <w:rPr>
                <w:rFonts w:eastAsia="Verdana"/>
              </w:rPr>
            </w:pPr>
            <w:r>
              <w:t>10–19</w:t>
            </w:r>
          </w:p>
        </w:tc>
        <w:tc>
          <w:tcPr>
            <w:tcW w:w="1795" w:type="pct"/>
            <w:hideMark/>
          </w:tcPr>
          <w:p w14:paraId="4CA58082"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2.9%</w:t>
            </w:r>
          </w:p>
        </w:tc>
      </w:tr>
      <w:tr w:rsidR="000A336D" w14:paraId="20867432"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1E7F0EA1" w14:textId="77777777" w:rsidR="000A336D" w:rsidRDefault="000A336D" w:rsidP="00F0381D">
            <w:r>
              <w:t>20–29</w:t>
            </w:r>
          </w:p>
        </w:tc>
        <w:tc>
          <w:tcPr>
            <w:tcW w:w="1795" w:type="pct"/>
            <w:hideMark/>
          </w:tcPr>
          <w:p w14:paraId="0B60ED90"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10.5%</w:t>
            </w:r>
          </w:p>
        </w:tc>
      </w:tr>
      <w:tr w:rsidR="000A336D" w14:paraId="091E1411"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6124758F" w14:textId="77777777" w:rsidR="000A336D" w:rsidRDefault="000A336D" w:rsidP="00F0381D">
            <w:r>
              <w:lastRenderedPageBreak/>
              <w:t>30–39</w:t>
            </w:r>
          </w:p>
        </w:tc>
        <w:tc>
          <w:tcPr>
            <w:tcW w:w="1795" w:type="pct"/>
            <w:hideMark/>
          </w:tcPr>
          <w:p w14:paraId="4EBECF28"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13.2%</w:t>
            </w:r>
          </w:p>
        </w:tc>
      </w:tr>
      <w:tr w:rsidR="000A336D" w14:paraId="4E8703FA"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61F47E2E" w14:textId="77777777" w:rsidR="000A336D" w:rsidRDefault="000A336D" w:rsidP="00F0381D">
            <w:r>
              <w:t>40–49</w:t>
            </w:r>
          </w:p>
        </w:tc>
        <w:tc>
          <w:tcPr>
            <w:tcW w:w="1795" w:type="pct"/>
            <w:hideMark/>
          </w:tcPr>
          <w:p w14:paraId="7B9998C7"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13.0%</w:t>
            </w:r>
          </w:p>
        </w:tc>
      </w:tr>
      <w:tr w:rsidR="000A336D" w14:paraId="5AC16670"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2CB06710" w14:textId="77777777" w:rsidR="000A336D" w:rsidRDefault="000A336D" w:rsidP="00F0381D">
            <w:r>
              <w:t>50–59</w:t>
            </w:r>
          </w:p>
        </w:tc>
        <w:tc>
          <w:tcPr>
            <w:tcW w:w="1795" w:type="pct"/>
            <w:hideMark/>
          </w:tcPr>
          <w:p w14:paraId="066E911B"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20.8%</w:t>
            </w:r>
          </w:p>
        </w:tc>
      </w:tr>
      <w:tr w:rsidR="000A336D" w14:paraId="6377F135"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4883C847" w14:textId="77777777" w:rsidR="000A336D" w:rsidRDefault="000A336D" w:rsidP="00F0381D">
            <w:r>
              <w:t>60–69</w:t>
            </w:r>
          </w:p>
        </w:tc>
        <w:tc>
          <w:tcPr>
            <w:tcW w:w="1795" w:type="pct"/>
            <w:hideMark/>
          </w:tcPr>
          <w:p w14:paraId="02A733B9"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19.9%</w:t>
            </w:r>
          </w:p>
        </w:tc>
      </w:tr>
      <w:tr w:rsidR="000A336D" w14:paraId="21BED7A0"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0B6D7685" w14:textId="77777777" w:rsidR="000A336D" w:rsidRDefault="000A336D" w:rsidP="00F0381D">
            <w:r>
              <w:t>70–79</w:t>
            </w:r>
          </w:p>
        </w:tc>
        <w:tc>
          <w:tcPr>
            <w:tcW w:w="1795" w:type="pct"/>
            <w:hideMark/>
          </w:tcPr>
          <w:p w14:paraId="016884E4"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14.5%</w:t>
            </w:r>
          </w:p>
        </w:tc>
      </w:tr>
      <w:tr w:rsidR="000A336D" w14:paraId="7D61C1AA" w14:textId="77777777" w:rsidTr="003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pct"/>
            <w:hideMark/>
          </w:tcPr>
          <w:p w14:paraId="3162E2D4" w14:textId="77777777" w:rsidR="000A336D" w:rsidRDefault="000A336D" w:rsidP="00F0381D">
            <w:r>
              <w:t>80–89</w:t>
            </w:r>
          </w:p>
        </w:tc>
        <w:tc>
          <w:tcPr>
            <w:tcW w:w="1795" w:type="pct"/>
            <w:hideMark/>
          </w:tcPr>
          <w:p w14:paraId="39A4ABDB" w14:textId="77777777" w:rsidR="000A336D" w:rsidRDefault="000A336D" w:rsidP="00F0381D">
            <w:pPr>
              <w:cnfStyle w:val="000000100000" w:firstRow="0" w:lastRow="0" w:firstColumn="0" w:lastColumn="0" w:oddVBand="0" w:evenVBand="0" w:oddHBand="1" w:evenHBand="0" w:firstRowFirstColumn="0" w:firstRowLastColumn="0" w:lastRowFirstColumn="0" w:lastRowLastColumn="0"/>
            </w:pPr>
            <w:r>
              <w:t>2.9%</w:t>
            </w:r>
          </w:p>
        </w:tc>
      </w:tr>
      <w:tr w:rsidR="000A336D" w14:paraId="403094EA" w14:textId="77777777" w:rsidTr="00391371">
        <w:tc>
          <w:tcPr>
            <w:cnfStyle w:val="001000000000" w:firstRow="0" w:lastRow="0" w:firstColumn="1" w:lastColumn="0" w:oddVBand="0" w:evenVBand="0" w:oddHBand="0" w:evenHBand="0" w:firstRowFirstColumn="0" w:firstRowLastColumn="0" w:lastRowFirstColumn="0" w:lastRowLastColumn="0"/>
            <w:tcW w:w="3205" w:type="pct"/>
            <w:hideMark/>
          </w:tcPr>
          <w:p w14:paraId="2A4F9BD5" w14:textId="77777777" w:rsidR="000A336D" w:rsidRDefault="000A336D" w:rsidP="00F0381D">
            <w:r>
              <w:t>90+</w:t>
            </w:r>
          </w:p>
        </w:tc>
        <w:tc>
          <w:tcPr>
            <w:tcW w:w="1795" w:type="pct"/>
            <w:hideMark/>
          </w:tcPr>
          <w:p w14:paraId="4B1A04A2" w14:textId="77777777" w:rsidR="000A336D" w:rsidRDefault="000A336D" w:rsidP="00F0381D">
            <w:pPr>
              <w:cnfStyle w:val="000000000000" w:firstRow="0" w:lastRow="0" w:firstColumn="0" w:lastColumn="0" w:oddVBand="0" w:evenVBand="0" w:oddHBand="0" w:evenHBand="0" w:firstRowFirstColumn="0" w:firstRowLastColumn="0" w:lastRowFirstColumn="0" w:lastRowLastColumn="0"/>
            </w:pPr>
            <w:r>
              <w:t>1.2%</w:t>
            </w:r>
          </w:p>
        </w:tc>
      </w:tr>
    </w:tbl>
    <w:p w14:paraId="7686CB08" w14:textId="77777777" w:rsidR="00391371" w:rsidRDefault="00391371" w:rsidP="00F0381D"/>
    <w:p w14:paraId="7042867F" w14:textId="77777777" w:rsidR="008C31FA" w:rsidRPr="006D7076" w:rsidRDefault="00D40CC6" w:rsidP="00891513">
      <w:pPr>
        <w:pStyle w:val="Heading3"/>
        <w:numPr>
          <w:ilvl w:val="0"/>
          <w:numId w:val="0"/>
        </w:numPr>
      </w:pPr>
      <w:r w:rsidRPr="006D7076">
        <w:t xml:space="preserve">Jurisdictional </w:t>
      </w:r>
      <w:r w:rsidR="008C31FA" w:rsidRPr="006D7076">
        <w:t>Scan</w:t>
      </w:r>
    </w:p>
    <w:p w14:paraId="69961E06" w14:textId="77777777" w:rsidR="002B084C" w:rsidRDefault="00D11BE2" w:rsidP="00F0381D">
      <w:pPr>
        <w:rPr>
          <w:lang w:eastAsia="en-CA"/>
        </w:rPr>
      </w:pPr>
      <w:r w:rsidRPr="00D11BE2">
        <w:rPr>
          <w:lang w:eastAsia="en-CA"/>
        </w:rPr>
        <w:t xml:space="preserve">The jurisdictional scan employed a systematic comparative legal and policy analysis to examine regulatory frameworks governing guide dog access across Canada and selected international jurisdictions. Primary sources, including statutes, regulations, human rights codes, and official government and regulatory guidance, were identified and reviewed using structured documentary analysis. The Canadian component encompassed all provinces and territories, while international jurisdictions were purposively selected based on geographic diversity, the presence of established guide dog programs, and relevance to disability rights governance. The </w:t>
      </w:r>
      <w:r w:rsidR="002B084C">
        <w:rPr>
          <w:lang w:eastAsia="en-CA"/>
        </w:rPr>
        <w:t xml:space="preserve">scan </w:t>
      </w:r>
      <w:r w:rsidRPr="00D11BE2">
        <w:rPr>
          <w:lang w:eastAsia="en-CA"/>
        </w:rPr>
        <w:t xml:space="preserve">focused on public access rights, certification and identification requirements, </w:t>
      </w:r>
      <w:r w:rsidRPr="00D11BE2">
        <w:rPr>
          <w:lang w:eastAsia="en-CA"/>
        </w:rPr>
        <w:lastRenderedPageBreak/>
        <w:t xml:space="preserve">enforcement mechanisms, penalties, and accommodation practices across sectors such as transportation, housing, employment, and education. </w:t>
      </w:r>
    </w:p>
    <w:p w14:paraId="7E3DB96C" w14:textId="4153F8D0" w:rsidR="002B084C" w:rsidRPr="00F551CA" w:rsidRDefault="002B084C" w:rsidP="004A57D2">
      <w:pPr>
        <w:pStyle w:val="Caption"/>
        <w:rPr>
          <w:b w:val="0"/>
          <w:bCs/>
        </w:rPr>
      </w:pPr>
      <w:bookmarkStart w:id="91" w:name="_Toc228387191"/>
      <w:r w:rsidRPr="00F551CA">
        <w:rPr>
          <w:i w:val="0"/>
          <w:iCs w:val="0"/>
        </w:rPr>
        <w:t xml:space="preserve">Table </w:t>
      </w:r>
      <w:r w:rsidRPr="00F551CA">
        <w:rPr>
          <w:i w:val="0"/>
          <w:iCs w:val="0"/>
        </w:rPr>
        <w:fldChar w:fldCharType="begin"/>
      </w:r>
      <w:r w:rsidRPr="00F551CA">
        <w:rPr>
          <w:i w:val="0"/>
          <w:iCs w:val="0"/>
        </w:rPr>
        <w:instrText xml:space="preserve"> SEQ Table \* ARABIC </w:instrText>
      </w:r>
      <w:r w:rsidRPr="00F551CA">
        <w:rPr>
          <w:i w:val="0"/>
          <w:iCs w:val="0"/>
        </w:rPr>
        <w:fldChar w:fldCharType="separate"/>
      </w:r>
      <w:r w:rsidR="00C06BF6">
        <w:rPr>
          <w:i w:val="0"/>
          <w:iCs w:val="0"/>
          <w:noProof/>
        </w:rPr>
        <w:t>2</w:t>
      </w:r>
      <w:r w:rsidRPr="00F551CA">
        <w:rPr>
          <w:i w:val="0"/>
          <w:iCs w:val="0"/>
          <w:noProof/>
        </w:rPr>
        <w:fldChar w:fldCharType="end"/>
      </w:r>
      <w:r w:rsidR="00F551CA">
        <w:br/>
      </w:r>
      <w:r w:rsidRPr="00F551CA">
        <w:rPr>
          <w:b w:val="0"/>
          <w:bCs/>
        </w:rPr>
        <w:t xml:space="preserve">Policy </w:t>
      </w:r>
      <w:r w:rsidR="003C5B48" w:rsidRPr="00F551CA">
        <w:rPr>
          <w:b w:val="0"/>
          <w:bCs/>
        </w:rPr>
        <w:t>Dimensions</w:t>
      </w:r>
      <w:r w:rsidR="002508B1" w:rsidRPr="00F551CA">
        <w:rPr>
          <w:b w:val="0"/>
          <w:bCs/>
        </w:rPr>
        <w:t xml:space="preserve"> </w:t>
      </w:r>
      <w:r w:rsidR="00E45215" w:rsidRPr="00F551CA">
        <w:rPr>
          <w:b w:val="0"/>
          <w:bCs/>
        </w:rPr>
        <w:t>Reviewed in</w:t>
      </w:r>
      <w:r w:rsidRPr="00F551CA">
        <w:rPr>
          <w:b w:val="0"/>
          <w:bCs/>
        </w:rPr>
        <w:t xml:space="preserve"> the </w:t>
      </w:r>
      <w:r w:rsidR="002508B1" w:rsidRPr="00F551CA">
        <w:rPr>
          <w:b w:val="0"/>
          <w:bCs/>
        </w:rPr>
        <w:t>J</w:t>
      </w:r>
      <w:r w:rsidRPr="00F551CA">
        <w:rPr>
          <w:b w:val="0"/>
          <w:bCs/>
        </w:rPr>
        <w:t xml:space="preserve">urisdictional </w:t>
      </w:r>
      <w:r w:rsidR="002508B1" w:rsidRPr="00F551CA">
        <w:rPr>
          <w:b w:val="0"/>
          <w:bCs/>
        </w:rPr>
        <w:t>S</w:t>
      </w:r>
      <w:r w:rsidR="003C5B48" w:rsidRPr="00F551CA">
        <w:rPr>
          <w:b w:val="0"/>
          <w:bCs/>
        </w:rPr>
        <w:t>can</w:t>
      </w:r>
      <w:bookmarkEnd w:id="91"/>
    </w:p>
    <w:tbl>
      <w:tblPr>
        <w:tblStyle w:val="ListTable3"/>
        <w:tblW w:w="0" w:type="auto"/>
        <w:tblLook w:val="04A0" w:firstRow="1" w:lastRow="0" w:firstColumn="1" w:lastColumn="0" w:noHBand="0" w:noVBand="1"/>
      </w:tblPr>
      <w:tblGrid>
        <w:gridCol w:w="2580"/>
        <w:gridCol w:w="4037"/>
        <w:gridCol w:w="2959"/>
      </w:tblGrid>
      <w:tr w:rsidR="002B084C" w:rsidRPr="008872F7" w14:paraId="0273AE79" w14:textId="77777777" w:rsidTr="00D0196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0FF72D3" w14:textId="77777777" w:rsidR="002B084C" w:rsidRPr="008872F7" w:rsidRDefault="002B084C" w:rsidP="00754BC6">
            <w:pPr>
              <w:pStyle w:val="NoSpacing"/>
              <w:ind w:firstLine="0"/>
            </w:pPr>
            <w:r w:rsidRPr="008872F7">
              <w:t>Policy dimension</w:t>
            </w:r>
          </w:p>
        </w:tc>
        <w:tc>
          <w:tcPr>
            <w:tcW w:w="0" w:type="auto"/>
            <w:hideMark/>
          </w:tcPr>
          <w:p w14:paraId="02E4D59C" w14:textId="77777777" w:rsidR="002B084C" w:rsidRPr="008872F7" w:rsidRDefault="002B084C" w:rsidP="00754BC6">
            <w:pPr>
              <w:pStyle w:val="NoSpacing"/>
              <w:ind w:firstLine="0"/>
              <w:cnfStyle w:val="100000000000" w:firstRow="1" w:lastRow="0" w:firstColumn="0" w:lastColumn="0" w:oddVBand="0" w:evenVBand="0" w:oddHBand="0" w:evenHBand="0" w:firstRowFirstColumn="0" w:firstRowLastColumn="0" w:lastRowFirstColumn="0" w:lastRowLastColumn="0"/>
            </w:pPr>
            <w:r w:rsidRPr="008872F7">
              <w:t>Illustrative approaches</w:t>
            </w:r>
          </w:p>
          <w:p w14:paraId="1FE363B1" w14:textId="77777777" w:rsidR="002B084C" w:rsidRPr="008872F7" w:rsidRDefault="002B084C" w:rsidP="00754BC6">
            <w:pPr>
              <w:pStyle w:val="NoSpacing"/>
              <w:ind w:firstLine="0"/>
              <w:cnfStyle w:val="100000000000" w:firstRow="1" w:lastRow="0" w:firstColumn="0" w:lastColumn="0" w:oddVBand="0" w:evenVBand="0" w:oddHBand="0" w:evenHBand="0" w:firstRowFirstColumn="0" w:firstRowLastColumn="0" w:lastRowFirstColumn="0" w:lastRowLastColumn="0"/>
            </w:pPr>
          </w:p>
        </w:tc>
        <w:tc>
          <w:tcPr>
            <w:tcW w:w="0" w:type="auto"/>
            <w:hideMark/>
          </w:tcPr>
          <w:p w14:paraId="7174429C" w14:textId="77777777" w:rsidR="002B084C" w:rsidRPr="008872F7" w:rsidRDefault="002B084C" w:rsidP="00754BC6">
            <w:pPr>
              <w:pStyle w:val="NoSpacing"/>
              <w:ind w:firstLine="0"/>
              <w:cnfStyle w:val="100000000000" w:firstRow="1" w:lastRow="0" w:firstColumn="0" w:lastColumn="0" w:oddVBand="0" w:evenVBand="0" w:oddHBand="0" w:evenHBand="0" w:firstRowFirstColumn="0" w:firstRowLastColumn="0" w:lastRowFirstColumn="0" w:lastRowLastColumn="0"/>
            </w:pPr>
            <w:r w:rsidRPr="008872F7">
              <w:t>Implications</w:t>
            </w:r>
          </w:p>
          <w:p w14:paraId="142C4C31" w14:textId="77777777" w:rsidR="002B084C" w:rsidRPr="008872F7" w:rsidRDefault="002B084C" w:rsidP="00754BC6">
            <w:pPr>
              <w:pStyle w:val="NoSpacing"/>
              <w:ind w:firstLine="0"/>
              <w:cnfStyle w:val="100000000000" w:firstRow="1" w:lastRow="0" w:firstColumn="0" w:lastColumn="0" w:oddVBand="0" w:evenVBand="0" w:oddHBand="0" w:evenHBand="0" w:firstRowFirstColumn="0" w:firstRowLastColumn="0" w:lastRowFirstColumn="0" w:lastRowLastColumn="0"/>
            </w:pPr>
          </w:p>
        </w:tc>
      </w:tr>
      <w:tr w:rsidR="002B084C" w:rsidRPr="008872F7" w14:paraId="5D30AC62" w14:textId="77777777" w:rsidTr="00D0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F9140D" w14:textId="1300690B" w:rsidR="002B084C" w:rsidRPr="008872F7" w:rsidRDefault="009F2D1D" w:rsidP="00754BC6">
            <w:pPr>
              <w:pStyle w:val="NoSpacing"/>
              <w:ind w:firstLine="0"/>
            </w:pPr>
            <w:r>
              <w:t>Legal r</w:t>
            </w:r>
            <w:r w:rsidR="002B084C" w:rsidRPr="008872F7">
              <w:t xml:space="preserve">ecognition for </w:t>
            </w:r>
            <w:r>
              <w:t xml:space="preserve">working guide dog </w:t>
            </w:r>
            <w:r w:rsidR="002B084C" w:rsidRPr="008872F7">
              <w:t>teams</w:t>
            </w:r>
          </w:p>
        </w:tc>
        <w:tc>
          <w:tcPr>
            <w:tcW w:w="0" w:type="auto"/>
            <w:hideMark/>
          </w:tcPr>
          <w:p w14:paraId="30830421" w14:textId="77777777" w:rsidR="002B084C" w:rsidRPr="008872F7" w:rsidRDefault="002B084C" w:rsidP="00754BC6">
            <w:pPr>
              <w:pStyle w:val="NoSpacing"/>
              <w:ind w:firstLine="0"/>
              <w:cnfStyle w:val="000000100000" w:firstRow="0" w:lastRow="0" w:firstColumn="0" w:lastColumn="0" w:oddVBand="0" w:evenVBand="0" w:oddHBand="1" w:evenHBand="0" w:firstRowFirstColumn="0" w:firstRowLastColumn="0" w:lastRowFirstColumn="0" w:lastRowLastColumn="0"/>
            </w:pPr>
            <w:r w:rsidRPr="008872F7">
              <w:t>Behaviour-centred approaches; Identification/certification-leaning approaches; Hybrid models</w:t>
            </w:r>
          </w:p>
        </w:tc>
        <w:tc>
          <w:tcPr>
            <w:tcW w:w="0" w:type="auto"/>
            <w:hideMark/>
          </w:tcPr>
          <w:p w14:paraId="2D422275" w14:textId="77777777" w:rsidR="002B084C" w:rsidRPr="008872F7" w:rsidRDefault="002B084C" w:rsidP="00754BC6">
            <w:pPr>
              <w:pStyle w:val="NoSpacing"/>
              <w:ind w:firstLine="0"/>
              <w:cnfStyle w:val="000000100000" w:firstRow="0" w:lastRow="0" w:firstColumn="0" w:lastColumn="0" w:oddVBand="0" w:evenVBand="0" w:oddHBand="1" w:evenHBand="0" w:firstRowFirstColumn="0" w:firstRowLastColumn="0" w:lastRowFirstColumn="0" w:lastRowLastColumn="0"/>
            </w:pPr>
            <w:r w:rsidRPr="008872F7">
              <w:t>Tension between minimizing handler burden and providing clarity for service providers; risk of inconsistent “proof” demands</w:t>
            </w:r>
          </w:p>
        </w:tc>
      </w:tr>
      <w:tr w:rsidR="00876FBD" w:rsidRPr="008872F7" w14:paraId="44124905" w14:textId="77777777" w:rsidTr="00D01960">
        <w:tc>
          <w:tcPr>
            <w:cnfStyle w:val="001000000000" w:firstRow="0" w:lastRow="0" w:firstColumn="1" w:lastColumn="0" w:oddVBand="0" w:evenVBand="0" w:oddHBand="0" w:evenHBand="0" w:firstRowFirstColumn="0" w:firstRowLastColumn="0" w:lastRowFirstColumn="0" w:lastRowLastColumn="0"/>
            <w:tcW w:w="0" w:type="auto"/>
            <w:hideMark/>
          </w:tcPr>
          <w:p w14:paraId="2F520930" w14:textId="63CBBB74" w:rsidR="00876FBD" w:rsidRPr="008872F7" w:rsidRDefault="00FB254E" w:rsidP="00876FBD">
            <w:pPr>
              <w:pStyle w:val="NoSpacing"/>
              <w:ind w:firstLine="0"/>
            </w:pPr>
            <w:r>
              <w:t>Main legal framework for Access</w:t>
            </w:r>
          </w:p>
        </w:tc>
        <w:tc>
          <w:tcPr>
            <w:tcW w:w="0" w:type="auto"/>
            <w:hideMark/>
          </w:tcPr>
          <w:p w14:paraId="79374B41" w14:textId="77777777" w:rsidR="00876FBD" w:rsidRPr="008872F7" w:rsidRDefault="00876FBD" w:rsidP="00876FBD">
            <w:pPr>
              <w:pStyle w:val="NoSpacing"/>
              <w:ind w:firstLine="0"/>
              <w:cnfStyle w:val="000000000000" w:firstRow="0" w:lastRow="0" w:firstColumn="0" w:lastColumn="0" w:oddVBand="0" w:evenVBand="0" w:oddHBand="0" w:evenHBand="0" w:firstRowFirstColumn="0" w:firstRowLastColumn="0" w:lastRowFirstColumn="0" w:lastRowLastColumn="0"/>
            </w:pPr>
            <w:r w:rsidRPr="008872F7">
              <w:t>Specific guide dog/service dog legislation; Human-rights-led frameworks; Mixed approaches</w:t>
            </w:r>
          </w:p>
        </w:tc>
        <w:tc>
          <w:tcPr>
            <w:tcW w:w="0" w:type="auto"/>
            <w:hideMark/>
          </w:tcPr>
          <w:p w14:paraId="594EEE21" w14:textId="77777777" w:rsidR="00876FBD" w:rsidRPr="008872F7" w:rsidRDefault="00876FBD" w:rsidP="00876FBD">
            <w:pPr>
              <w:pStyle w:val="NoSpacing"/>
              <w:ind w:firstLine="0"/>
              <w:cnfStyle w:val="000000000000" w:firstRow="0" w:lastRow="0" w:firstColumn="0" w:lastColumn="0" w:oddVBand="0" w:evenVBand="0" w:oddHBand="0" w:evenHBand="0" w:firstRowFirstColumn="0" w:firstRowLastColumn="0" w:lastRowFirstColumn="0" w:lastRowLastColumn="0"/>
            </w:pPr>
            <w:r w:rsidRPr="008872F7">
              <w:t>Human-rights-led protections may be more favourable in some practical contexts</w:t>
            </w:r>
          </w:p>
        </w:tc>
      </w:tr>
      <w:tr w:rsidR="00876FBD" w:rsidRPr="008872F7" w14:paraId="0C891C34" w14:textId="77777777" w:rsidTr="00D01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882747" w14:textId="44F96833" w:rsidR="00876FBD" w:rsidRPr="008872F7" w:rsidRDefault="00876FBD" w:rsidP="00876FBD">
            <w:pPr>
              <w:pStyle w:val="NoSpacing"/>
              <w:ind w:firstLine="0"/>
            </w:pPr>
            <w:r w:rsidRPr="008872F7">
              <w:t xml:space="preserve">Enforcement and </w:t>
            </w:r>
            <w:r w:rsidR="00AE50AC">
              <w:t>Complaints processes</w:t>
            </w:r>
          </w:p>
        </w:tc>
        <w:tc>
          <w:tcPr>
            <w:tcW w:w="0" w:type="auto"/>
            <w:hideMark/>
          </w:tcPr>
          <w:p w14:paraId="5E5775D4" w14:textId="77777777" w:rsidR="00876FBD" w:rsidRPr="008872F7" w:rsidRDefault="00876FBD" w:rsidP="00876FBD">
            <w:pPr>
              <w:pStyle w:val="NoSpacing"/>
              <w:ind w:firstLine="0"/>
              <w:cnfStyle w:val="000000100000" w:firstRow="0" w:lastRow="0" w:firstColumn="0" w:lastColumn="0" w:oddVBand="0" w:evenVBand="0" w:oddHBand="1" w:evenHBand="0" w:firstRowFirstColumn="0" w:firstRowLastColumn="0" w:lastRowFirstColumn="0" w:lastRowLastColumn="0"/>
            </w:pPr>
            <w:r w:rsidRPr="008872F7">
              <w:t>Police/penalty models; Human rights complaint/tribunal processes; Mixed enforcement</w:t>
            </w:r>
          </w:p>
        </w:tc>
        <w:tc>
          <w:tcPr>
            <w:tcW w:w="0" w:type="auto"/>
            <w:hideMark/>
          </w:tcPr>
          <w:p w14:paraId="5C503834" w14:textId="77777777" w:rsidR="00876FBD" w:rsidRPr="008872F7" w:rsidRDefault="00876FBD" w:rsidP="00876FBD">
            <w:pPr>
              <w:pStyle w:val="NoSpacing"/>
              <w:ind w:firstLine="0"/>
              <w:cnfStyle w:val="000000100000" w:firstRow="0" w:lastRow="0" w:firstColumn="0" w:lastColumn="0" w:oddVBand="0" w:evenVBand="0" w:oddHBand="1" w:evenHBand="0" w:firstRowFirstColumn="0" w:firstRowLastColumn="0" w:lastRowFirstColumn="0" w:lastRowLastColumn="0"/>
            </w:pPr>
            <w:r w:rsidRPr="008872F7">
              <w:t>Stakeholders reported uneven enforcement and slow/burdensome recourse, potentially limiting deterrence</w:t>
            </w:r>
          </w:p>
        </w:tc>
      </w:tr>
      <w:tr w:rsidR="00876FBD" w:rsidRPr="008872F7" w14:paraId="1F1C5F00" w14:textId="77777777" w:rsidTr="00D01960">
        <w:tc>
          <w:tcPr>
            <w:cnfStyle w:val="001000000000" w:firstRow="0" w:lastRow="0" w:firstColumn="1" w:lastColumn="0" w:oddVBand="0" w:evenVBand="0" w:oddHBand="0" w:evenHBand="0" w:firstRowFirstColumn="0" w:firstRowLastColumn="0" w:lastRowFirstColumn="0" w:lastRowLastColumn="0"/>
            <w:tcW w:w="0" w:type="auto"/>
            <w:hideMark/>
          </w:tcPr>
          <w:p w14:paraId="030BAD4B" w14:textId="78A920F5" w:rsidR="00876FBD" w:rsidRPr="008872F7" w:rsidRDefault="00876FBD" w:rsidP="00876FBD">
            <w:pPr>
              <w:pStyle w:val="NoSpacing"/>
              <w:ind w:firstLine="0"/>
            </w:pPr>
            <w:r w:rsidRPr="008872F7">
              <w:t>Accommod</w:t>
            </w:r>
            <w:r w:rsidR="00ED6B35">
              <w:t>ating</w:t>
            </w:r>
            <w:r w:rsidRPr="008872F7">
              <w:t xml:space="preserve"> competing rights</w:t>
            </w:r>
            <w:r>
              <w:t xml:space="preserve"> claims</w:t>
            </w:r>
            <w:r w:rsidRPr="008872F7">
              <w:t xml:space="preserve"> (e.g., allergies, religion)</w:t>
            </w:r>
          </w:p>
        </w:tc>
        <w:tc>
          <w:tcPr>
            <w:tcW w:w="0" w:type="auto"/>
            <w:hideMark/>
          </w:tcPr>
          <w:p w14:paraId="7203C4C6" w14:textId="77777777" w:rsidR="00876FBD" w:rsidRPr="008872F7" w:rsidRDefault="00876FBD" w:rsidP="00876FBD">
            <w:pPr>
              <w:pStyle w:val="NoSpacing"/>
              <w:ind w:firstLine="0"/>
              <w:cnfStyle w:val="000000000000" w:firstRow="0" w:lastRow="0" w:firstColumn="0" w:lastColumn="0" w:oddVBand="0" w:evenVBand="0" w:oddHBand="0" w:evenHBand="0" w:firstRowFirstColumn="0" w:firstRowLastColumn="0" w:lastRowFirstColumn="0" w:lastRowLastColumn="0"/>
            </w:pPr>
            <w:r w:rsidRPr="008872F7">
              <w:t>Case-by-case accommodation; “Undue hardship” thresholds; Explicit prioritization of access with accommodation for others where feasible</w:t>
            </w:r>
          </w:p>
        </w:tc>
        <w:tc>
          <w:tcPr>
            <w:tcW w:w="0" w:type="auto"/>
            <w:hideMark/>
          </w:tcPr>
          <w:p w14:paraId="15A0D86B" w14:textId="77777777" w:rsidR="00876FBD" w:rsidRPr="008872F7" w:rsidRDefault="00876FBD" w:rsidP="00876FBD">
            <w:pPr>
              <w:pStyle w:val="NoSpacing"/>
              <w:ind w:firstLine="0"/>
              <w:cnfStyle w:val="000000000000" w:firstRow="0" w:lastRow="0" w:firstColumn="0" w:lastColumn="0" w:oddVBand="0" w:evenVBand="0" w:oddHBand="0" w:evenHBand="0" w:firstRowFirstColumn="0" w:firstRowLastColumn="0" w:lastRowFirstColumn="0" w:lastRowLastColumn="0"/>
            </w:pPr>
            <w:r w:rsidRPr="008872F7">
              <w:t>Implementation depends on operational policies and awareness; workable compromise mechanisms are needed.</w:t>
            </w:r>
          </w:p>
          <w:p w14:paraId="569B4E6C" w14:textId="77777777" w:rsidR="00876FBD" w:rsidRPr="008872F7" w:rsidRDefault="00876FBD" w:rsidP="00876FBD">
            <w:pPr>
              <w:pStyle w:val="NoSpacing"/>
              <w:ind w:firstLine="0"/>
              <w:cnfStyle w:val="000000000000" w:firstRow="0" w:lastRow="0" w:firstColumn="0" w:lastColumn="0" w:oddVBand="0" w:evenVBand="0" w:oddHBand="0" w:evenHBand="0" w:firstRowFirstColumn="0" w:firstRowLastColumn="0" w:lastRowFirstColumn="0" w:lastRowLastColumn="0"/>
            </w:pPr>
          </w:p>
        </w:tc>
      </w:tr>
    </w:tbl>
    <w:p w14:paraId="16FB2D57" w14:textId="6B1D653B" w:rsidR="00D11BE2" w:rsidRPr="00D11BE2" w:rsidRDefault="00D11BE2" w:rsidP="00500421">
      <w:r w:rsidRPr="00D11BE2">
        <w:rPr>
          <w:lang w:eastAsia="en-CA"/>
        </w:rPr>
        <w:lastRenderedPageBreak/>
        <w:t>Jurisdictional findings were synthesized to identify patterns of convergence and divergence, establish a baseline description of existing protections, and inform subsequent empirical inquiry and policy recommendations</w:t>
      </w:r>
      <w:r w:rsidR="00F105B7">
        <w:rPr>
          <w:lang w:eastAsia="en-CA"/>
        </w:rPr>
        <w:t xml:space="preserve"> for standards </w:t>
      </w:r>
      <w:r w:rsidR="00500421">
        <w:rPr>
          <w:lang w:eastAsia="en-CA"/>
        </w:rPr>
        <w:t>development</w:t>
      </w:r>
      <w:r>
        <w:rPr>
          <w:lang w:eastAsia="en-CA"/>
        </w:rPr>
        <w:t xml:space="preserve"> </w:t>
      </w:r>
      <w:r w:rsidR="00D40CC6">
        <w:t>(CNIB Research, 2023).</w:t>
      </w:r>
    </w:p>
    <w:p w14:paraId="1F16252D" w14:textId="10CC4FD2" w:rsidR="001D7575" w:rsidRDefault="00F3553E" w:rsidP="00891513">
      <w:pPr>
        <w:pStyle w:val="Heading3"/>
        <w:numPr>
          <w:ilvl w:val="0"/>
          <w:numId w:val="0"/>
        </w:numPr>
      </w:pPr>
      <w:r>
        <w:t>Qualitative Methods</w:t>
      </w:r>
      <w:r w:rsidR="00A37FF7">
        <w:t xml:space="preserve"> &amp; Governance</w:t>
      </w:r>
    </w:p>
    <w:p w14:paraId="040DFE54" w14:textId="77777777" w:rsidR="00076E20" w:rsidRDefault="00076E20">
      <w:pPr>
        <w:rPr>
          <w:lang w:eastAsia="en-CA"/>
        </w:rPr>
      </w:pPr>
      <w:r>
        <w:t xml:space="preserve">The study employed a mixed-methods qualitative design incorporating an advisory committee, co-design sessions, focus groups, and key informant interviews to examine barriers to guide dog access in Canada. An advisory committee of guide dog handlers provided strategic guidance on research focus, design, and interpretation throughout the project. Participatory co-design sessions were conducted to elicit experiential knowledge, support stakeholder-led problem framing, and identify priority access issues through facilitated group processes. Semi-structured focus groups were conducted via videoconferencing with guide dog handlers across multiple jurisdictions, guided by a standardized protocol addressing public access, transportation, enforcement, and human rights processes. Discussions were audio-recorded, transcribed, and subjected to iterative thematic analysis to identify recurring patterns and points of divergence. Key informant interviews with legislators, transportation regulators and service providers to contextualize participant </w:t>
      </w:r>
      <w:r>
        <w:lastRenderedPageBreak/>
        <w:t>perspectives. Findings across qualitative components were triangulated to enhance analytic robustness and inform policy-relevant conclusions.</w:t>
      </w:r>
    </w:p>
    <w:p w14:paraId="74EEA222" w14:textId="55D926C5" w:rsidR="008D07A5" w:rsidRDefault="00714D02" w:rsidP="00891513">
      <w:pPr>
        <w:pStyle w:val="Heading3"/>
        <w:numPr>
          <w:ilvl w:val="0"/>
          <w:numId w:val="0"/>
        </w:numPr>
      </w:pPr>
      <w:r>
        <w:t>Quantitative Methods</w:t>
      </w:r>
    </w:p>
    <w:p w14:paraId="05146F4A" w14:textId="77777777" w:rsidR="00BD514C" w:rsidRDefault="00BD514C">
      <w:pPr>
        <w:rPr>
          <w:lang w:eastAsia="en-CA"/>
        </w:rPr>
      </w:pPr>
      <w:r>
        <w:t>Quantitative data were derived from two complementary surveys examining guide dog access and public attitudes. The Guide Dog Handlers Experiences Survey (September–December 2022): an online questionnaire administered in English, French, and Spanish to guide dog handlers in Canada and selected international contexts. The survey captured demographic characteristics, guide dog use, and the frequency and perceived impact of access barriers across multiple public domains, including transportation, education, health care, and commercial settings. Descriptive statistical analyses were used to summarize respondent characteristics and reported experiences, with stratification by province, age group, and community size where relevant. A total of 546 complete responses were received; 97.1% of respondents lived in Canada (see Table 1 for Demographic Characteristics).</w:t>
      </w:r>
    </w:p>
    <w:p w14:paraId="7A0C8C06" w14:textId="12E04504" w:rsidR="007A0E34" w:rsidRPr="007A0E34" w:rsidRDefault="007A0E34" w:rsidP="00F0381D">
      <w:r w:rsidRPr="007A0E34">
        <w:t xml:space="preserve">To contextualize handler experiences, a national public opinion survey was conducted by Ipsos Reid with a representative sample of </w:t>
      </w:r>
      <w:r>
        <w:t xml:space="preserve">1,001 </w:t>
      </w:r>
      <w:r w:rsidRPr="007A0E34">
        <w:lastRenderedPageBreak/>
        <w:t>Canadian adults to assess awareness and attitudes regarding guide dogs and access rights.</w:t>
      </w:r>
    </w:p>
    <w:p w14:paraId="2A1EFC2A" w14:textId="74486BFC" w:rsidR="00B91760" w:rsidRDefault="00B91760" w:rsidP="00803D9D">
      <w:pPr>
        <w:pStyle w:val="Heading2"/>
        <w:rPr>
          <w:lang w:eastAsia="en-CA"/>
        </w:rPr>
      </w:pPr>
      <w:bookmarkStart w:id="92" w:name="_Toc228294106"/>
      <w:r>
        <w:t>Measures and constructs</w:t>
      </w:r>
      <w:bookmarkEnd w:id="92"/>
    </w:p>
    <w:p w14:paraId="01BCAB42" w14:textId="77777777" w:rsidR="00B91760" w:rsidRPr="004818F0" w:rsidRDefault="00B91760" w:rsidP="00F0381D">
      <w:pPr>
        <w:rPr>
          <w:lang w:eastAsia="en-CA"/>
        </w:rPr>
      </w:pPr>
      <w:r>
        <w:t xml:space="preserve">The </w:t>
      </w:r>
      <w:r w:rsidRPr="004818F0">
        <w:t>Guide Dog Handlers Experiences Survey (2022)</w:t>
      </w:r>
      <w:r>
        <w:t xml:space="preserve"> </w:t>
      </w:r>
      <w:r w:rsidRPr="004818F0">
        <w:t>measured self-reported experiences of accessing multiple public settings (e.g., shopping centres, grocery stores, restaurants, health care facilities, entertainment venues, government service centres, places of worship, transportation terminals) and specific transportation providers (e.g., taxi, ride-share, airlines, bus lines). Reported constructs include: (i) whether barriers were ever experienced; (ii) recency of barriers; (iii) frequency of difficulty in a setting (e.g., at least 3–4 times per year) attributed to others’ lack of understanding; (iv) perceived impact on daily life; (v) avoidance of new venues due to fear of discrimination; and (vi) decisions not to bring a guide dog in certain contexts.</w:t>
      </w:r>
    </w:p>
    <w:p w14:paraId="3E02A7D7" w14:textId="77777777" w:rsidR="00B91760" w:rsidRPr="004818F0" w:rsidRDefault="00B91760" w:rsidP="00F0381D">
      <w:pPr>
        <w:rPr>
          <w:lang w:eastAsia="en-CA"/>
        </w:rPr>
      </w:pPr>
      <w:r>
        <w:t xml:space="preserve">The </w:t>
      </w:r>
      <w:r w:rsidRPr="004818F0">
        <w:t>Ipsos Reid public attitudes survey (2022)</w:t>
      </w:r>
      <w:r>
        <w:t xml:space="preserve"> </w:t>
      </w:r>
      <w:r w:rsidRPr="004818F0">
        <w:t xml:space="preserve">instrument measured public awareness and attitudes, including: knowledge of guide dog roles and etiquette; awareness of differences between guide dogs, service dogs, and emotional support animals; perceptions of whether guide dog users continue </w:t>
      </w:r>
      <w:r w:rsidRPr="004818F0">
        <w:lastRenderedPageBreak/>
        <w:t>to face access denials; and degree of social proximity/contact with guide dog users (e.g., having met or spoken with a guide dog user).</w:t>
      </w:r>
    </w:p>
    <w:p w14:paraId="06EDCB0A" w14:textId="77777777" w:rsidR="00B91760" w:rsidRDefault="00B91760" w:rsidP="00F0381D">
      <w:pPr>
        <w:rPr>
          <w:lang w:eastAsia="en-CA"/>
        </w:rPr>
      </w:pPr>
      <w:r>
        <w:t>Stakeholder engagement (advisory committee, co-design sessions, focus groups) elicited experiential accounts of barriers, implementation failures, and solution pathways. Key constructs include legitimacy markers (behaviour versus documentation), the burden of self-advocacy in public settings, sector-specific barriers (notably transportation), and perceived effectiveness of enforcement, complaint pathways, and public education strategies (Ballard et al., 2023; Leighton et al., 2025; Silverman et al., 2022).</w:t>
      </w:r>
    </w:p>
    <w:p w14:paraId="6B92E046" w14:textId="77777777" w:rsidR="00B91760" w:rsidRDefault="00B91760" w:rsidP="00F0381D">
      <w:pPr>
        <w:rPr>
          <w:lang w:eastAsia="en-CA"/>
        </w:rPr>
      </w:pPr>
      <w:r>
        <w:t xml:space="preserve">The jurisdictional scan established a baseline legal/policy landscape (where guide dogs can/cannot go; identification and certification requirements; enforcement mechanisms; penalties; and how competing rights are addressed). </w:t>
      </w:r>
    </w:p>
    <w:p w14:paraId="562F18DF" w14:textId="1963A36D" w:rsidR="00D404FB" w:rsidRDefault="00D404FB" w:rsidP="00803D9D">
      <w:pPr>
        <w:pStyle w:val="Heading2"/>
        <w:rPr>
          <w:lang w:eastAsia="en-CA"/>
        </w:rPr>
      </w:pPr>
      <w:bookmarkStart w:id="93" w:name="_Toc228294107"/>
      <w:r>
        <w:t xml:space="preserve">Analysis </w:t>
      </w:r>
      <w:r w:rsidR="007A0E34">
        <w:t>and Triangulation</w:t>
      </w:r>
      <w:bookmarkEnd w:id="93"/>
    </w:p>
    <w:p w14:paraId="18EA2A3F" w14:textId="77777777" w:rsidR="00BB3445" w:rsidRDefault="00BB3445">
      <w:pPr>
        <w:rPr>
          <w:lang w:eastAsia="en-CA"/>
        </w:rPr>
      </w:pPr>
      <w:bookmarkStart w:id="94" w:name="_Toc1457608092"/>
      <w:bookmarkStart w:id="95" w:name="_Toc744153060"/>
      <w:bookmarkStart w:id="96" w:name="_Toc1169350103"/>
      <w:bookmarkStart w:id="97" w:name="_Toc1583537616"/>
      <w:bookmarkStart w:id="98" w:name="_Toc715771874"/>
      <w:bookmarkStart w:id="99" w:name="_Toc1552290886"/>
      <w:bookmarkStart w:id="100" w:name="_Toc1871647662"/>
      <w:bookmarkStart w:id="101" w:name="_Toc446672396"/>
      <w:bookmarkStart w:id="102" w:name="_Toc1554165160"/>
      <w:r>
        <w:t xml:space="preserve">Analysis followed a convergent mixed-methods integration strategy in which qualitative and quantitative data were analyzed separately and then systematically integrated. Qualitative data from co-design sessions, focus </w:t>
      </w:r>
      <w:r>
        <w:lastRenderedPageBreak/>
        <w:t>groups, advisory committee input, and the key informant interview were subjected to iterative thematic analysis to identify recurring patterns and contextual variation. Quantitative survey data were summarized using descriptive statistics to generate prevalence estimates of access barriers and public attitudes. Triangulation was achieved through structured comparison of themes and distributions across datasets and with jurisdictional scan findings, assessing convergence, complementarity, and divergence. Convergent results reinforced analytic credibility, while dissonant findings were interrogated to refine interpretation and illuminate contextual influences. This integrative approach strengthened methodological rigor by situating lived experience within population-level and policy contexts.</w:t>
      </w:r>
    </w:p>
    <w:p w14:paraId="4A26740A" w14:textId="354C36F9" w:rsidR="000A336D" w:rsidRDefault="3D0B5717">
      <w:pPr>
        <w:pStyle w:val="Heading1"/>
        <w:numPr>
          <w:ilvl w:val="0"/>
          <w:numId w:val="2"/>
        </w:numPr>
        <w:rPr>
          <w:kern w:val="36"/>
          <w:sz w:val="32"/>
          <w:szCs w:val="32"/>
        </w:rPr>
      </w:pPr>
      <w:bookmarkStart w:id="103" w:name="_Toc228394680"/>
      <w:r>
        <w:t>Results</w:t>
      </w:r>
      <w:bookmarkEnd w:id="94"/>
      <w:bookmarkEnd w:id="95"/>
      <w:bookmarkEnd w:id="96"/>
      <w:bookmarkEnd w:id="97"/>
      <w:bookmarkEnd w:id="98"/>
      <w:bookmarkEnd w:id="99"/>
      <w:bookmarkEnd w:id="100"/>
      <w:bookmarkEnd w:id="101"/>
      <w:bookmarkEnd w:id="102"/>
      <w:bookmarkEnd w:id="103"/>
    </w:p>
    <w:p w14:paraId="299DC367" w14:textId="30E27D89" w:rsidR="00FE6966" w:rsidRDefault="00FE6966" w:rsidP="00803D9D">
      <w:pPr>
        <w:pStyle w:val="Heading2"/>
        <w:rPr>
          <w:sz w:val="30"/>
          <w:szCs w:val="30"/>
        </w:rPr>
      </w:pPr>
      <w:bookmarkStart w:id="104" w:name="_Toc521258077"/>
      <w:bookmarkStart w:id="105" w:name="_Toc354035656"/>
      <w:bookmarkStart w:id="106" w:name="_Toc161235584"/>
      <w:bookmarkStart w:id="107" w:name="_Toc119136183"/>
      <w:bookmarkStart w:id="108" w:name="_Toc715446869"/>
      <w:bookmarkStart w:id="109" w:name="_Toc1050453257"/>
      <w:bookmarkStart w:id="110" w:name="_Toc2132950828"/>
      <w:bookmarkStart w:id="111" w:name="_Toc985368925"/>
      <w:bookmarkStart w:id="112" w:name="_Toc234679455"/>
      <w:bookmarkStart w:id="113" w:name="_Toc228294108"/>
      <w:bookmarkStart w:id="114" w:name="_Toc1402848607"/>
      <w:bookmarkStart w:id="115" w:name="_Toc997307721"/>
      <w:bookmarkStart w:id="116" w:name="_Toc825556423"/>
      <w:bookmarkStart w:id="117" w:name="_Toc1051522030"/>
      <w:bookmarkStart w:id="118" w:name="_Toc106810208"/>
      <w:bookmarkStart w:id="119" w:name="_Toc1425227238"/>
      <w:bookmarkStart w:id="120" w:name="_Toc580664626"/>
      <w:bookmarkStart w:id="121" w:name="_Toc577245790"/>
      <w:bookmarkStart w:id="122" w:name="_Toc311959937"/>
      <w:r>
        <w:t xml:space="preserve">Jurisdictional </w:t>
      </w:r>
      <w:r w:rsidR="00821D8C">
        <w:t>scan</w:t>
      </w:r>
      <w:bookmarkEnd w:id="104"/>
      <w:bookmarkEnd w:id="105"/>
      <w:bookmarkEnd w:id="106"/>
      <w:bookmarkEnd w:id="107"/>
      <w:bookmarkEnd w:id="108"/>
      <w:bookmarkEnd w:id="109"/>
      <w:bookmarkEnd w:id="110"/>
      <w:bookmarkEnd w:id="111"/>
      <w:bookmarkEnd w:id="112"/>
      <w:bookmarkEnd w:id="113"/>
    </w:p>
    <w:p w14:paraId="5D1C98E8" w14:textId="59A2418F" w:rsidR="005142A0" w:rsidRDefault="005142A0" w:rsidP="00F0381D">
      <w:pPr>
        <w:rPr>
          <w:lang w:eastAsia="en-CA"/>
        </w:rPr>
      </w:pPr>
      <w:r>
        <w:t xml:space="preserve">The jurisdictional </w:t>
      </w:r>
      <w:r w:rsidR="00821D8C">
        <w:t xml:space="preserve">scan </w:t>
      </w:r>
      <w:r>
        <w:t xml:space="preserve">component (March–April 2022) was designed to establish a baseline description of the formal legal landscape for guide dog access. It examined Canada’s 10 provinces and 3 territories and reviewed 41 international jurisdictions, including the United States under the Americans </w:t>
      </w:r>
      <w:r>
        <w:lastRenderedPageBreak/>
        <w:t>with Disabilities Act (ADA) and guide dog legislation in 30 U.S. states. The review also sampled jurisdictions across multiple continents and noted emerging international standardization activity, including draft work on the “European Standard for Assistance Dogs” under the European Committee for Standardization (CEN/TC 452).</w:t>
      </w:r>
    </w:p>
    <w:p w14:paraId="34DA1B35" w14:textId="77777777" w:rsidR="00A05630" w:rsidRPr="00A05630" w:rsidRDefault="00A05630" w:rsidP="00F0381D">
      <w:r w:rsidRPr="00A05630">
        <w:t>Canadian jurisdictions diverged markedly in legal framing. Provinces such as Ontario, Alberta, and Nova Scotia retained guide dog–specific legislation anchored primarily in visual disability, whereas others relied more heavily on general human rights statutes encompassing service animals more broadly. These differing frameworks shaped evidentiary thresholds, complaint pathways, and enforcement responsibility.</w:t>
      </w:r>
    </w:p>
    <w:p w14:paraId="169FE8DA" w14:textId="77777777" w:rsidR="00052E36" w:rsidRDefault="00052E36" w:rsidP="00F0381D">
      <w:pPr>
        <w:rPr>
          <w:lang w:eastAsia="en-CA"/>
        </w:rPr>
      </w:pPr>
      <w:r>
        <w:t>Certification and identification requirements varied substantially across provinces. Some jurisdictions mandated government</w:t>
      </w:r>
      <w:r>
        <w:noBreakHyphen/>
        <w:t>issued identification cards or formal assessments to establish guide dog legitimacy, while others relied primarily on observable behaviour and handler attestation. Where certification regimes were present, owner</w:t>
      </w:r>
      <w:r>
        <w:noBreakHyphen/>
        <w:t xml:space="preserve">trained guide dogs were more likely to be subject to additional assessments or administrative requirements, creating differentiated access conditions not uniformly applied </w:t>
      </w:r>
      <w:r>
        <w:lastRenderedPageBreak/>
        <w:t>to program</w:t>
      </w:r>
      <w:r>
        <w:noBreakHyphen/>
        <w:t>trained dogs (Leighton et al., 2025; Silverman et al., 2022; Zier, 2020).</w:t>
      </w:r>
    </w:p>
    <w:p w14:paraId="5B5C9D38" w14:textId="77777777" w:rsidR="00052E36" w:rsidRDefault="00052E36" w:rsidP="00F0381D">
      <w:pPr>
        <w:rPr>
          <w:lang w:eastAsia="en-CA"/>
        </w:rPr>
      </w:pPr>
      <w:r>
        <w:t>Enforcement emerged as a consistent weakness. Although all Canadian jurisdictions prescribed penalties for unlawful access denial, fines were generally modest and rarely enforced. The scan identified limited procedural guidance for police, inspectors, or service providers, contributing to inconsistent application of existing laws. Public education obligations were uneven: while some provinces required disability or service</w:t>
      </w:r>
      <w:r>
        <w:noBreakHyphen/>
        <w:t>animal training for businesses, few embedded enforceable, guide</w:t>
      </w:r>
      <w:r>
        <w:noBreakHyphen/>
        <w:t>dog</w:t>
      </w:r>
      <w:r>
        <w:noBreakHyphen/>
        <w:t>specific education mechanisms (Leighton et al., 2025; Silverman et al., 2022; Zier, 2020).</w:t>
      </w:r>
    </w:p>
    <w:p w14:paraId="7EA9C5D2" w14:textId="77180A2F" w:rsidR="005142A0" w:rsidRDefault="00A05630" w:rsidP="00F0381D">
      <w:r w:rsidRPr="007325E8">
        <w:t>Internationally, innovative practices were identified but remained uncommon.</w:t>
      </w:r>
      <w:r w:rsidRPr="00A05630">
        <w:t xml:space="preserve"> These included behaviour</w:t>
      </w:r>
      <w:r w:rsidRPr="00A05630">
        <w:noBreakHyphen/>
        <w:t>first models that explicitly reject mandatory identification (e.g., the United Kingdom), substantially higher financial penalties for access refusal (e.g., Israel), and statutory recognition of broad public education duties embedded within access legislation (e.g., Brazil). While not prevalent in Canada, these approaches illustrate alternative regulatory strategies for strengthening practical enforcement.</w:t>
      </w:r>
    </w:p>
    <w:p w14:paraId="26DF1448" w14:textId="7F6A9592" w:rsidR="00A65266" w:rsidRDefault="00A65266" w:rsidP="00803D9D">
      <w:pPr>
        <w:pStyle w:val="Heading2"/>
        <w:rPr>
          <w:sz w:val="30"/>
          <w:szCs w:val="30"/>
        </w:rPr>
      </w:pPr>
      <w:bookmarkStart w:id="123" w:name="_Toc1387364867"/>
      <w:bookmarkStart w:id="124" w:name="_Toc360392938"/>
      <w:bookmarkStart w:id="125" w:name="_Toc750786332"/>
      <w:bookmarkStart w:id="126" w:name="_Toc547819361"/>
      <w:bookmarkStart w:id="127" w:name="_Toc809857356"/>
      <w:bookmarkStart w:id="128" w:name="_Toc699398712"/>
      <w:bookmarkStart w:id="129" w:name="_Toc1845516073"/>
      <w:bookmarkStart w:id="130" w:name="_Toc1745196195"/>
      <w:bookmarkStart w:id="131" w:name="_Toc1566875224"/>
      <w:bookmarkStart w:id="132" w:name="_Toc228294109"/>
      <w:bookmarkEnd w:id="114"/>
      <w:bookmarkEnd w:id="115"/>
      <w:bookmarkEnd w:id="116"/>
      <w:bookmarkEnd w:id="117"/>
      <w:bookmarkEnd w:id="118"/>
      <w:bookmarkEnd w:id="119"/>
      <w:bookmarkEnd w:id="120"/>
      <w:bookmarkEnd w:id="121"/>
      <w:bookmarkEnd w:id="122"/>
      <w:r>
        <w:lastRenderedPageBreak/>
        <w:t>Lived experience perspectives</w:t>
      </w:r>
      <w:bookmarkEnd w:id="123"/>
      <w:bookmarkEnd w:id="124"/>
      <w:bookmarkEnd w:id="125"/>
      <w:bookmarkEnd w:id="126"/>
      <w:bookmarkEnd w:id="127"/>
      <w:bookmarkEnd w:id="128"/>
      <w:bookmarkEnd w:id="129"/>
      <w:bookmarkEnd w:id="130"/>
      <w:bookmarkEnd w:id="131"/>
      <w:bookmarkEnd w:id="132"/>
    </w:p>
    <w:p w14:paraId="2ED3D9A0" w14:textId="77777777" w:rsidR="004101EE" w:rsidRDefault="004101EE">
      <w:pPr>
        <w:rPr>
          <w:lang w:eastAsia="en-CA"/>
        </w:rPr>
      </w:pPr>
      <w:r>
        <w:t>Qualitative inputs from the advisory committee, co-design sessions, and focus groups consistently framed access denials as a recurring, cumulative burden that affects mobility and social participation. Participants emphasized that, despite legal protections, access is “far from guaranteed” in day-to-day settings and that handlers are often placed in the position of having to educate others or advocate in the moment.</w:t>
      </w:r>
    </w:p>
    <w:p w14:paraId="13066B70" w14:textId="77777777" w:rsidR="00A65266" w:rsidRDefault="00A65266" w:rsidP="00F0381D">
      <w:pPr>
        <w:rPr>
          <w:lang w:eastAsia="en-CA"/>
        </w:rPr>
      </w:pPr>
      <w:r>
        <w:t>There was strong consensus on the nature and persistence of guide dog access barriers in Canada, alongside clear divergences regarding the role of certification, identification, and regulatory responses. To clarify these patterns, areas of agreement and disagreement are summarized below, followed by illustrative themes and supporting survey indicators where relevant.</w:t>
      </w:r>
    </w:p>
    <w:p w14:paraId="7854728A" w14:textId="2B93F6A8" w:rsidR="00A65266" w:rsidRDefault="00500421" w:rsidP="000B12E7">
      <w:pPr>
        <w:pStyle w:val="Heading3"/>
        <w:numPr>
          <w:ilvl w:val="0"/>
          <w:numId w:val="0"/>
        </w:numPr>
        <w:ind w:left="720"/>
        <w:rPr>
          <w:lang w:eastAsia="en-CA"/>
        </w:rPr>
      </w:pPr>
      <w:r>
        <w:t xml:space="preserve"> </w:t>
      </w:r>
      <w:r w:rsidR="00A65266">
        <w:t>Areas of consensus</w:t>
      </w:r>
    </w:p>
    <w:p w14:paraId="5ABB0394" w14:textId="77777777" w:rsidR="00A65266" w:rsidRDefault="00A65266" w:rsidP="00F0381D">
      <w:pPr>
        <w:rPr>
          <w:lang w:eastAsia="en-CA"/>
        </w:rPr>
      </w:pPr>
      <w:r>
        <w:t xml:space="preserve">Participants consistently emphasized that longstanding legal protections have not translated into reliable access in everyday contexts, and that access denials continue across multiple settings. This persistence was attributed primarily to failures in implementation, awareness, and </w:t>
      </w:r>
      <w:r>
        <w:lastRenderedPageBreak/>
        <w:t>enforcement rather than to the absence of rights.</w:t>
      </w:r>
      <w:r>
        <w:rPr>
          <w:lang w:eastAsia="en-CA"/>
        </w:rPr>
        <w:t xml:space="preserve"> </w:t>
      </w:r>
      <w:r>
        <w:t>Participants reported that confusion among the public and service providers regarding guide dogs, other service dogs, emotional support animals, and pets is a central driver of access barriers. This confusion was viewed as contributing to heightened scrutiny of guide dog teams and inconsistent decision-making at points of service.</w:t>
      </w:r>
      <w:r>
        <w:rPr>
          <w:lang w:eastAsia="en-CA"/>
        </w:rPr>
        <w:t xml:space="preserve"> </w:t>
      </w:r>
      <w:r>
        <w:t>Participants described the burden of resolving access issues as falling primarily on handlers themselves, including explaining rights, responding to documentation demands, managing conflict, and navigating slow or burdensome complaint processes. This cumulative burden was described as fatiguing and inequitable.</w:t>
      </w:r>
    </w:p>
    <w:p w14:paraId="538530E3" w14:textId="77777777" w:rsidR="00A65266" w:rsidRDefault="00A65266" w:rsidP="00F0381D">
      <w:r>
        <w:t>Education emerged as the most consistently endorsed solution across all stakeholder input. Participants emphasized the need for broad public education and training for service providers as a practical complement to legal protections, including the importance of centering lived experience in education design and delivery.</w:t>
      </w:r>
    </w:p>
    <w:p w14:paraId="37B1526D" w14:textId="4FE4D062" w:rsidR="00A65266" w:rsidRPr="00F551CA" w:rsidRDefault="00A65266" w:rsidP="004A57D2">
      <w:pPr>
        <w:pStyle w:val="Caption"/>
        <w:rPr>
          <w:b w:val="0"/>
          <w:bCs/>
        </w:rPr>
      </w:pPr>
      <w:bookmarkStart w:id="133" w:name="_Toc228387192"/>
      <w:r w:rsidRPr="00F551CA">
        <w:rPr>
          <w:i w:val="0"/>
          <w:iCs w:val="0"/>
        </w:rPr>
        <w:t xml:space="preserve">Table </w:t>
      </w:r>
      <w:r w:rsidRPr="00F551CA">
        <w:rPr>
          <w:i w:val="0"/>
          <w:iCs w:val="0"/>
        </w:rPr>
        <w:fldChar w:fldCharType="begin"/>
      </w:r>
      <w:r w:rsidRPr="00F551CA">
        <w:rPr>
          <w:i w:val="0"/>
          <w:iCs w:val="0"/>
        </w:rPr>
        <w:instrText xml:space="preserve"> SEQ Table \* ARABIC </w:instrText>
      </w:r>
      <w:r w:rsidRPr="00F551CA">
        <w:rPr>
          <w:i w:val="0"/>
          <w:iCs w:val="0"/>
        </w:rPr>
        <w:fldChar w:fldCharType="separate"/>
      </w:r>
      <w:r w:rsidR="00C06BF6">
        <w:rPr>
          <w:i w:val="0"/>
          <w:iCs w:val="0"/>
          <w:noProof/>
        </w:rPr>
        <w:t>3</w:t>
      </w:r>
      <w:r w:rsidRPr="00F551CA">
        <w:rPr>
          <w:i w:val="0"/>
          <w:iCs w:val="0"/>
        </w:rPr>
        <w:fldChar w:fldCharType="end"/>
      </w:r>
      <w:r>
        <w:t xml:space="preserve"> </w:t>
      </w:r>
      <w:r w:rsidR="00F551CA">
        <w:br/>
      </w:r>
      <w:r w:rsidRPr="00F551CA">
        <w:rPr>
          <w:b w:val="0"/>
          <w:bCs/>
        </w:rPr>
        <w:t>Key Participant Illustrative Quotations &amp; Data Source</w:t>
      </w:r>
      <w:bookmarkEnd w:id="133"/>
    </w:p>
    <w:tbl>
      <w:tblPr>
        <w:tblStyle w:val="ListTable3"/>
        <w:tblW w:w="0" w:type="auto"/>
        <w:tblLook w:val="04A0" w:firstRow="1" w:lastRow="0" w:firstColumn="1" w:lastColumn="0" w:noHBand="0" w:noVBand="1"/>
      </w:tblPr>
      <w:tblGrid>
        <w:gridCol w:w="3076"/>
        <w:gridCol w:w="4540"/>
        <w:gridCol w:w="1960"/>
      </w:tblGrid>
      <w:tr w:rsidR="00A65266" w:rsidRPr="00185351" w14:paraId="1BE4E3AD" w14:textId="77777777" w:rsidTr="00F551C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28B3F0E6" w14:textId="77777777" w:rsidR="00A65266" w:rsidRPr="00185351" w:rsidRDefault="00A65266" w:rsidP="00F551CA">
            <w:pPr>
              <w:pStyle w:val="NoSpacing"/>
              <w:ind w:firstLine="0"/>
              <w:rPr>
                <w:lang w:eastAsia="en-CA"/>
              </w:rPr>
            </w:pPr>
            <w:r w:rsidRPr="00185351">
              <w:rPr>
                <w:lang w:eastAsia="en-CA"/>
              </w:rPr>
              <w:t>Core Finding</w:t>
            </w:r>
          </w:p>
        </w:tc>
        <w:tc>
          <w:tcPr>
            <w:tcW w:w="4540" w:type="dxa"/>
            <w:hideMark/>
          </w:tcPr>
          <w:p w14:paraId="1A2D5E1B" w14:textId="77777777" w:rsidR="00A65266" w:rsidRPr="00185351" w:rsidRDefault="00A65266" w:rsidP="00F551CA">
            <w:pPr>
              <w:pStyle w:val="NoSpacing"/>
              <w:ind w:firstLine="0"/>
              <w:cnfStyle w:val="100000000000" w:firstRow="1" w:lastRow="0" w:firstColumn="0" w:lastColumn="0" w:oddVBand="0" w:evenVBand="0" w:oddHBand="0" w:evenHBand="0" w:firstRowFirstColumn="0" w:firstRowLastColumn="0" w:lastRowFirstColumn="0" w:lastRowLastColumn="0"/>
              <w:rPr>
                <w:lang w:eastAsia="en-CA"/>
              </w:rPr>
            </w:pPr>
            <w:r w:rsidRPr="00185351">
              <w:rPr>
                <w:lang w:eastAsia="en-CA"/>
              </w:rPr>
              <w:t>Verbatim Participant Quotation</w:t>
            </w:r>
          </w:p>
        </w:tc>
        <w:tc>
          <w:tcPr>
            <w:tcW w:w="1960" w:type="dxa"/>
            <w:hideMark/>
          </w:tcPr>
          <w:p w14:paraId="597FEE46" w14:textId="77777777" w:rsidR="00A65266" w:rsidRPr="00185351" w:rsidRDefault="00A65266" w:rsidP="00F551CA">
            <w:pPr>
              <w:pStyle w:val="NoSpacing"/>
              <w:ind w:firstLine="0"/>
              <w:cnfStyle w:val="100000000000" w:firstRow="1" w:lastRow="0" w:firstColumn="0" w:lastColumn="0" w:oddVBand="0" w:evenVBand="0" w:oddHBand="0" w:evenHBand="0" w:firstRowFirstColumn="0" w:firstRowLastColumn="0" w:lastRowFirstColumn="0" w:lastRowLastColumn="0"/>
              <w:rPr>
                <w:lang w:eastAsia="en-CA"/>
              </w:rPr>
            </w:pPr>
            <w:r w:rsidRPr="00185351">
              <w:rPr>
                <w:lang w:eastAsia="en-CA"/>
              </w:rPr>
              <w:t>Data Source</w:t>
            </w:r>
          </w:p>
        </w:tc>
      </w:tr>
      <w:tr w:rsidR="00A65266" w:rsidRPr="00185351" w14:paraId="75B2326E" w14:textId="77777777" w:rsidTr="00F551CA">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0" w:type="auto"/>
            <w:hideMark/>
          </w:tcPr>
          <w:p w14:paraId="36FF1B12" w14:textId="77777777" w:rsidR="00A65266" w:rsidRPr="00185351" w:rsidRDefault="00A65266" w:rsidP="00F551CA">
            <w:pPr>
              <w:pStyle w:val="NoSpacing"/>
              <w:ind w:firstLine="0"/>
              <w:rPr>
                <w:lang w:eastAsia="en-CA"/>
              </w:rPr>
            </w:pPr>
            <w:r w:rsidRPr="00185351">
              <w:rPr>
                <w:lang w:eastAsia="en-CA"/>
              </w:rPr>
              <w:lastRenderedPageBreak/>
              <w:t>Persistent access barriers</w:t>
            </w:r>
          </w:p>
        </w:tc>
        <w:tc>
          <w:tcPr>
            <w:tcW w:w="4540" w:type="dxa"/>
            <w:hideMark/>
          </w:tcPr>
          <w:p w14:paraId="73BE565B"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“We are in a crisis.”</w:t>
            </w:r>
          </w:p>
        </w:tc>
        <w:tc>
          <w:tcPr>
            <w:tcW w:w="1960" w:type="dxa"/>
            <w:hideMark/>
          </w:tcPr>
          <w:p w14:paraId="6803D293"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Focus group</w:t>
            </w:r>
          </w:p>
        </w:tc>
      </w:tr>
      <w:tr w:rsidR="00A65266" w:rsidRPr="00185351" w14:paraId="15CD2586" w14:textId="77777777" w:rsidTr="00F551CA">
        <w:trPr>
          <w:trHeight w:val="2040"/>
        </w:trPr>
        <w:tc>
          <w:tcPr>
            <w:cnfStyle w:val="001000000000" w:firstRow="0" w:lastRow="0" w:firstColumn="1" w:lastColumn="0" w:oddVBand="0" w:evenVBand="0" w:oddHBand="0" w:evenHBand="0" w:firstRowFirstColumn="0" w:firstRowLastColumn="0" w:lastRowFirstColumn="0" w:lastRowLastColumn="0"/>
            <w:tcW w:w="0" w:type="auto"/>
            <w:hideMark/>
          </w:tcPr>
          <w:p w14:paraId="5045AEC8" w14:textId="77777777" w:rsidR="00A65266" w:rsidRPr="00185351" w:rsidRDefault="00A65266" w:rsidP="00F551CA">
            <w:pPr>
              <w:pStyle w:val="NoSpacing"/>
              <w:ind w:firstLine="0"/>
              <w:rPr>
                <w:lang w:eastAsia="en-CA"/>
              </w:rPr>
            </w:pPr>
            <w:r w:rsidRPr="00185351">
              <w:rPr>
                <w:lang w:eastAsia="en-CA"/>
              </w:rPr>
              <w:t>Rejection of certification burdens</w:t>
            </w:r>
          </w:p>
        </w:tc>
        <w:tc>
          <w:tcPr>
            <w:tcW w:w="4540" w:type="dxa"/>
            <w:hideMark/>
          </w:tcPr>
          <w:p w14:paraId="14F20039" w14:textId="77777777" w:rsidR="00B043A0" w:rsidRDefault="00B043A0">
            <w:pPr>
              <w:pStyle w:val="NoSpacing"/>
              <w:cnfStyle w:val="000000000000" w:firstRow="0" w:lastRow="0" w:firstColumn="0" w:lastColumn="0" w:oddVBand="0" w:evenVBand="0" w:oddHBand="0" w:evenHBand="0" w:firstRowFirstColumn="0" w:firstRowLastColumn="0" w:lastRowFirstColumn="0" w:lastRowLastColumn="0"/>
              <w:rPr>
                <w:lang w:eastAsia="en-CA"/>
              </w:rPr>
            </w:pPr>
            <w:r>
              <w:t>“Why would owner-trainers have to be certified? … We should not have to stand on our heads and prove we are legitimate.”</w:t>
            </w:r>
          </w:p>
          <w:p w14:paraId="1C4EFC36" w14:textId="6AAD49B8"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p>
        </w:tc>
        <w:tc>
          <w:tcPr>
            <w:tcW w:w="1960" w:type="dxa"/>
            <w:hideMark/>
          </w:tcPr>
          <w:p w14:paraId="1D2E5705" w14:textId="77777777"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r w:rsidRPr="00185351">
              <w:rPr>
                <w:lang w:eastAsia="en-CA"/>
              </w:rPr>
              <w:t>Advisory committee</w:t>
            </w:r>
          </w:p>
        </w:tc>
      </w:tr>
      <w:tr w:rsidR="00A65266" w:rsidRPr="00185351" w14:paraId="6B24D330" w14:textId="77777777" w:rsidTr="00F551CA">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0" w:type="auto"/>
            <w:hideMark/>
          </w:tcPr>
          <w:p w14:paraId="7A253CD3" w14:textId="77777777" w:rsidR="00A65266" w:rsidRPr="00185351" w:rsidRDefault="00A65266" w:rsidP="00F551CA">
            <w:pPr>
              <w:pStyle w:val="NoSpacing"/>
              <w:ind w:firstLine="0"/>
              <w:rPr>
                <w:lang w:eastAsia="en-CA"/>
              </w:rPr>
            </w:pPr>
            <w:r w:rsidRPr="00185351">
              <w:rPr>
                <w:lang w:eastAsia="en-CA"/>
              </w:rPr>
              <w:t>Behaviour as legitimacy marker</w:t>
            </w:r>
          </w:p>
        </w:tc>
        <w:tc>
          <w:tcPr>
            <w:tcW w:w="4540" w:type="dxa"/>
            <w:hideMark/>
          </w:tcPr>
          <w:p w14:paraId="019B5EDF"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“Four (paws) on the floor is the best way to know if a dog is trained or not.”</w:t>
            </w:r>
          </w:p>
        </w:tc>
        <w:tc>
          <w:tcPr>
            <w:tcW w:w="1960" w:type="dxa"/>
            <w:hideMark/>
          </w:tcPr>
          <w:p w14:paraId="409339FF"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Focus group</w:t>
            </w:r>
          </w:p>
        </w:tc>
      </w:tr>
      <w:tr w:rsidR="00A65266" w:rsidRPr="00185351" w14:paraId="53333480" w14:textId="77777777" w:rsidTr="00F551CA">
        <w:trPr>
          <w:trHeight w:val="1635"/>
        </w:trPr>
        <w:tc>
          <w:tcPr>
            <w:cnfStyle w:val="001000000000" w:firstRow="0" w:lastRow="0" w:firstColumn="1" w:lastColumn="0" w:oddVBand="0" w:evenVBand="0" w:oddHBand="0" w:evenHBand="0" w:firstRowFirstColumn="0" w:firstRowLastColumn="0" w:lastRowFirstColumn="0" w:lastRowLastColumn="0"/>
            <w:tcW w:w="0" w:type="auto"/>
            <w:hideMark/>
          </w:tcPr>
          <w:p w14:paraId="7EC6BEC9" w14:textId="77777777" w:rsidR="00A65266" w:rsidRPr="00185351" w:rsidRDefault="00A65266" w:rsidP="00F551CA">
            <w:pPr>
              <w:pStyle w:val="NoSpacing"/>
              <w:ind w:firstLine="0"/>
              <w:rPr>
                <w:lang w:eastAsia="en-CA"/>
              </w:rPr>
            </w:pPr>
            <w:r w:rsidRPr="00185351">
              <w:rPr>
                <w:lang w:eastAsia="en-CA"/>
              </w:rPr>
              <w:t>Transportation as a critical barrier</w:t>
            </w:r>
          </w:p>
        </w:tc>
        <w:tc>
          <w:tcPr>
            <w:tcW w:w="4540" w:type="dxa"/>
            <w:hideMark/>
          </w:tcPr>
          <w:p w14:paraId="29922A05" w14:textId="77777777"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r w:rsidRPr="00185351">
              <w:rPr>
                <w:lang w:eastAsia="en-CA"/>
              </w:rPr>
              <w:t>“I recently had an Uber experience where I will never take it again. The police were called.”</w:t>
            </w:r>
          </w:p>
        </w:tc>
        <w:tc>
          <w:tcPr>
            <w:tcW w:w="1960" w:type="dxa"/>
            <w:hideMark/>
          </w:tcPr>
          <w:p w14:paraId="6762C52D" w14:textId="77777777"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r w:rsidRPr="00185351">
              <w:rPr>
                <w:lang w:eastAsia="en-CA"/>
              </w:rPr>
              <w:t>Focus group</w:t>
            </w:r>
          </w:p>
        </w:tc>
      </w:tr>
      <w:tr w:rsidR="00A65266" w:rsidRPr="00185351" w14:paraId="498A479A" w14:textId="77777777" w:rsidTr="00F551CA">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0" w:type="auto"/>
            <w:hideMark/>
          </w:tcPr>
          <w:p w14:paraId="6E71F494" w14:textId="77777777" w:rsidR="00A65266" w:rsidRPr="00185351" w:rsidRDefault="00A65266" w:rsidP="00F551CA">
            <w:pPr>
              <w:pStyle w:val="NoSpacing"/>
              <w:ind w:firstLine="0"/>
              <w:rPr>
                <w:lang w:eastAsia="en-CA"/>
              </w:rPr>
            </w:pPr>
            <w:r w:rsidRPr="00185351">
              <w:rPr>
                <w:lang w:eastAsia="en-CA"/>
              </w:rPr>
              <w:t>Failure of redress mechanisms</w:t>
            </w:r>
          </w:p>
        </w:tc>
        <w:tc>
          <w:tcPr>
            <w:tcW w:w="4540" w:type="dxa"/>
            <w:hideMark/>
          </w:tcPr>
          <w:p w14:paraId="24C0C90E"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“It can take up to 3 years… Justice delayed is justice denied.”</w:t>
            </w:r>
          </w:p>
        </w:tc>
        <w:tc>
          <w:tcPr>
            <w:tcW w:w="1960" w:type="dxa"/>
            <w:hideMark/>
          </w:tcPr>
          <w:p w14:paraId="12EDD829" w14:textId="77777777" w:rsidR="00A65266" w:rsidRPr="00185351" w:rsidRDefault="00A65266" w:rsidP="00F551CA">
            <w:pPr>
              <w:pStyle w:val="NoSpacing"/>
              <w:ind w:firstLine="0"/>
              <w:cnfStyle w:val="000000100000" w:firstRow="0" w:lastRow="0" w:firstColumn="0" w:lastColumn="0" w:oddVBand="0" w:evenVBand="0" w:oddHBand="1" w:evenHBand="0" w:firstRowFirstColumn="0" w:firstRowLastColumn="0" w:lastRowFirstColumn="0" w:lastRowLastColumn="0"/>
              <w:rPr>
                <w:lang w:eastAsia="en-CA"/>
              </w:rPr>
            </w:pPr>
            <w:r w:rsidRPr="00185351">
              <w:rPr>
                <w:lang w:eastAsia="en-CA"/>
              </w:rPr>
              <w:t>Focus group</w:t>
            </w:r>
          </w:p>
        </w:tc>
      </w:tr>
      <w:tr w:rsidR="00A65266" w:rsidRPr="00185351" w14:paraId="6C73B715" w14:textId="77777777" w:rsidTr="00F551CA">
        <w:trPr>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58E9CD50" w14:textId="77777777" w:rsidR="00A65266" w:rsidRPr="00185351" w:rsidRDefault="00A65266" w:rsidP="00F551CA">
            <w:pPr>
              <w:pStyle w:val="NoSpacing"/>
              <w:ind w:firstLine="0"/>
              <w:rPr>
                <w:lang w:eastAsia="en-CA"/>
              </w:rPr>
            </w:pPr>
            <w:r w:rsidRPr="00185351">
              <w:rPr>
                <w:lang w:eastAsia="en-CA"/>
              </w:rPr>
              <w:t>Impact on dignity and inclusion</w:t>
            </w:r>
          </w:p>
        </w:tc>
        <w:tc>
          <w:tcPr>
            <w:tcW w:w="4540" w:type="dxa"/>
            <w:hideMark/>
          </w:tcPr>
          <w:p w14:paraId="1C766542" w14:textId="77777777"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r w:rsidRPr="00185351">
              <w:rPr>
                <w:lang w:eastAsia="en-CA"/>
              </w:rPr>
              <w:t>“I would feel like an equal person.”</w:t>
            </w:r>
          </w:p>
        </w:tc>
        <w:tc>
          <w:tcPr>
            <w:tcW w:w="1960" w:type="dxa"/>
            <w:hideMark/>
          </w:tcPr>
          <w:p w14:paraId="0C57E75D" w14:textId="77777777" w:rsidR="00BB3445" w:rsidRDefault="00BB3445">
            <w:pPr>
              <w:pStyle w:val="NoSpacing"/>
              <w:cnfStyle w:val="000000000000" w:firstRow="0" w:lastRow="0" w:firstColumn="0" w:lastColumn="0" w:oddVBand="0" w:evenVBand="0" w:oddHBand="0" w:evenHBand="0" w:firstRowFirstColumn="0" w:firstRowLastColumn="0" w:lastRowFirstColumn="0" w:lastRowLastColumn="0"/>
              <w:rPr>
                <w:lang w:eastAsia="en-CA"/>
              </w:rPr>
            </w:pPr>
            <w:r>
              <w:t>Co-design (blue-sky exercise)</w:t>
            </w:r>
          </w:p>
          <w:p w14:paraId="05175DBC" w14:textId="218527E3" w:rsidR="00A65266" w:rsidRPr="00185351" w:rsidRDefault="00A65266" w:rsidP="00F551CA">
            <w:pPr>
              <w:pStyle w:val="NoSpacing"/>
              <w:ind w:firstLine="0"/>
              <w:cnfStyle w:val="000000000000" w:firstRow="0" w:lastRow="0" w:firstColumn="0" w:lastColumn="0" w:oddVBand="0" w:evenVBand="0" w:oddHBand="0" w:evenHBand="0" w:firstRowFirstColumn="0" w:firstRowLastColumn="0" w:lastRowFirstColumn="0" w:lastRowLastColumn="0"/>
              <w:rPr>
                <w:lang w:eastAsia="en-CA"/>
              </w:rPr>
            </w:pPr>
          </w:p>
        </w:tc>
      </w:tr>
    </w:tbl>
    <w:p w14:paraId="2E438CE7" w14:textId="77777777" w:rsidR="00A65266" w:rsidRDefault="00A65266" w:rsidP="004A57D2">
      <w:pPr>
        <w:pStyle w:val="Caption"/>
        <w:rPr>
          <w:lang w:eastAsia="en-CA"/>
        </w:rPr>
      </w:pPr>
    </w:p>
    <w:p w14:paraId="70813F86" w14:textId="666A53DC" w:rsidR="00A65266" w:rsidRDefault="00500421" w:rsidP="000B12E7">
      <w:pPr>
        <w:pStyle w:val="Heading3"/>
        <w:numPr>
          <w:ilvl w:val="0"/>
          <w:numId w:val="0"/>
        </w:numPr>
        <w:ind w:left="720"/>
        <w:rPr>
          <w:lang w:eastAsia="en-CA"/>
        </w:rPr>
      </w:pPr>
      <w:r>
        <w:t xml:space="preserve"> </w:t>
      </w:r>
      <w:r w:rsidR="00A65266">
        <w:t>Areas of divergence</w:t>
      </w:r>
    </w:p>
    <w:p w14:paraId="296EEE11" w14:textId="5FF0AC82" w:rsidR="00A65266" w:rsidRDefault="00A65266" w:rsidP="00F0381D">
      <w:pPr>
        <w:rPr>
          <w:lang w:eastAsia="en-CA"/>
        </w:rPr>
      </w:pPr>
      <w:r>
        <w:t xml:space="preserve">Participants diverged on whether certification and identification systems are protective (i.e., smoothing access interactions) or whether they create </w:t>
      </w:r>
      <w:r>
        <w:lastRenderedPageBreak/>
        <w:t xml:space="preserve">new, inequitable burdens by shifting responsibility for “proving” legitimacy onto </w:t>
      </w:r>
      <w:r w:rsidR="00A339FC">
        <w:t xml:space="preserve">guide dog </w:t>
      </w:r>
      <w:r>
        <w:t>handlers. Relatedly, participants differed on whether legitimacy is best established through documentation or through observable behaviour and handler control, reflecting a tension between pragmatic “proof” strategies and rights-based access principles.</w:t>
      </w:r>
    </w:p>
    <w:p w14:paraId="419B2A46" w14:textId="77777777" w:rsidR="00DB079B" w:rsidRDefault="00A65266" w:rsidP="00F0381D">
      <w:pPr>
        <w:rPr>
          <w:lang w:eastAsia="en-CA"/>
        </w:rPr>
      </w:pPr>
      <w:r>
        <w:t>While participants broadly agreed that enforcement is inconsistent, they differed on what enforcement should prioritize, such as stronger deterrence and faster recourse for refusals versus greater emphasis on addressing misrepresentation to reduce skepticism toward legitimate teams.</w:t>
      </w:r>
      <w:r>
        <w:rPr>
          <w:lang w:eastAsia="en-CA"/>
        </w:rPr>
        <w:t xml:space="preserve"> </w:t>
      </w:r>
      <w:r>
        <w:t>Participants also differed on the desirability of harmonizing recognition and access expectations across jurisdictions: some emphasized predictability (particularly across provinces and travel contexts), while others cautioned that poorly designed harmonization could introduce new restrictions or dilute protections.</w:t>
      </w:r>
      <w:r>
        <w:rPr>
          <w:lang w:eastAsia="en-CA"/>
        </w:rPr>
        <w:t xml:space="preserve"> </w:t>
      </w:r>
    </w:p>
    <w:p w14:paraId="7BAC591E" w14:textId="77777777" w:rsidR="00B043A0" w:rsidRDefault="00B043A0">
      <w:pPr>
        <w:rPr>
          <w:lang w:eastAsia="en-CA"/>
        </w:rPr>
      </w:pPr>
      <w:r>
        <w:t xml:space="preserve">Stakeholders described tensions between jurisdictions that emphasize certification/ID and those that emphasize behaviour-based assessment, and highlighted perceived inequities for owner-trainers where separate assessment/certification processes exist. Many participants argued that good guide dog working behaviour is the “true test” of a legitimate guide dog and </w:t>
      </w:r>
      <w:r>
        <w:lastRenderedPageBreak/>
        <w:t>expressed concern that identification requirements can be unreliable and place disproportionate demands on handlers (including pressure to share personal information).</w:t>
      </w:r>
    </w:p>
    <w:p w14:paraId="155A3403" w14:textId="77777777" w:rsidR="00794440" w:rsidRDefault="00794440">
      <w:pPr>
        <w:rPr>
          <w:lang w:eastAsia="en-CA"/>
        </w:rPr>
      </w:pPr>
      <w:r>
        <w:t>Transportation access is identified as a recurring barrier during focus groups and co-design sessions. Participants described common refusals, cancellations, or non-pickups in taxi and ride-share contexts, and highlighted burdens associated with air travel processes (e.g., inconsistent airline implementation, accessibility of forms, and challenges navigating airports and aircraft with a guide dog). With respect to transportation and guide dog access, the jurisdictional scan found that jurisdictions vary with respect to how access is protected and what proof is required for access. For example, Canada and the U.S. differ regarding what documentation is required for air transportation, whether a guide dog may have its own seat on an aircraft, whether to charge for “disability-related items”, and access to washrooms on an aircraft. While the review found that in all jurisdictions guide dogs are to be permitted on all forms of public transportation such as buses, taxis, ride-share, ferries, aircraft, and trains, the unfortunate reality is that guide dogs are not always welcomed on these forms of public transportation.</w:t>
      </w:r>
    </w:p>
    <w:p w14:paraId="3883C405" w14:textId="77777777" w:rsidR="00A65266" w:rsidRDefault="00A65266" w:rsidP="00F0381D">
      <w:pPr>
        <w:rPr>
          <w:lang w:eastAsia="en-CA"/>
        </w:rPr>
      </w:pPr>
      <w:r>
        <w:lastRenderedPageBreak/>
        <w:t>Enforcement and complaint pathways: Participants described slow or difficult redress processes and raised concerns about front-line awareness among enforcement bodies, contributing to uncertainty about recourse when an access denial occurs.</w:t>
      </w:r>
    </w:p>
    <w:p w14:paraId="3203C20B" w14:textId="77777777" w:rsidR="00A65266" w:rsidRDefault="00A65266" w:rsidP="00F0381D">
      <w:pPr>
        <w:rPr>
          <w:lang w:eastAsia="en-CA"/>
        </w:rPr>
      </w:pPr>
      <w:r>
        <w:t>Public education as a priority solution: Participants repeatedly called for broad public education, including school-based education and training for service providers, and suggested that lived experience should be central to designing and delivering education efforts.</w:t>
      </w:r>
    </w:p>
    <w:p w14:paraId="3915747B" w14:textId="36F90AC9" w:rsidR="000A336D" w:rsidRDefault="00FE6966" w:rsidP="00803D9D">
      <w:pPr>
        <w:pStyle w:val="Heading2"/>
        <w:rPr>
          <w:sz w:val="30"/>
          <w:szCs w:val="30"/>
        </w:rPr>
      </w:pPr>
      <w:bookmarkStart w:id="134" w:name="_Toc228294110"/>
      <w:r>
        <w:t xml:space="preserve">Guide Dog Handlers </w:t>
      </w:r>
      <w:r w:rsidR="006718B4">
        <w:t>Experiences Survey 2022</w:t>
      </w:r>
      <w:bookmarkEnd w:id="134"/>
    </w:p>
    <w:p w14:paraId="23B8DBE9" w14:textId="1D089789" w:rsidR="00376579" w:rsidRDefault="0038717A" w:rsidP="00DA1486">
      <w:r>
        <w:t xml:space="preserve">The Guide Dog Handlers Experiences Survey </w:t>
      </w:r>
      <w:r w:rsidR="00DF09CB">
        <w:t xml:space="preserve">ran from </w:t>
      </w:r>
      <w:r>
        <w:t>September</w:t>
      </w:r>
      <w:r w:rsidR="00DF09CB">
        <w:t xml:space="preserve"> to </w:t>
      </w:r>
      <w:r>
        <w:t>December 2022</w:t>
      </w:r>
      <w:r w:rsidR="00DF09CB">
        <w:t>, and</w:t>
      </w:r>
      <w:r>
        <w:t xml:space="preserve"> invited guide dog handlers around the world to participate</w:t>
      </w:r>
      <w:r w:rsidR="00DF09CB">
        <w:t>.</w:t>
      </w:r>
      <w:r w:rsidR="002D3E80">
        <w:t xml:space="preserve"> Participants responded from Canada, United States, United Kingdom, France, </w:t>
      </w:r>
      <w:r w:rsidR="00D556D3">
        <w:t>Slovakia</w:t>
      </w:r>
      <w:r w:rsidR="002D3E80">
        <w:t xml:space="preserve"> and Qatar. </w:t>
      </w:r>
      <w:r w:rsidR="00DF09CB">
        <w:t xml:space="preserve"> The survey </w:t>
      </w:r>
      <w:r>
        <w:t xml:space="preserve">received 546 complete responses; </w:t>
      </w:r>
      <w:r w:rsidR="00DF09CB">
        <w:t xml:space="preserve">with </w:t>
      </w:r>
      <w:r>
        <w:t xml:space="preserve">97.1% of respondents </w:t>
      </w:r>
      <w:r w:rsidR="00DF09CB">
        <w:t>living</w:t>
      </w:r>
      <w:r>
        <w:t xml:space="preserve"> in Canada. </w:t>
      </w:r>
      <w:r w:rsidR="00D569A5">
        <w:t xml:space="preserve">Among the respondents, 63.6% had experience with a guide dog at least 4 to 6 years. The mean age of the </w:t>
      </w:r>
      <w:r w:rsidR="00307BC6">
        <w:t xml:space="preserve">respondents </w:t>
      </w:r>
      <w:r w:rsidR="00D569A5">
        <w:t>was 52.</w:t>
      </w:r>
      <w:r w:rsidR="00307BC6">
        <w:t>1 years</w:t>
      </w:r>
      <w:r w:rsidR="00210B7C">
        <w:t xml:space="preserve"> (</w:t>
      </w:r>
      <w:r w:rsidR="002E76F0">
        <w:t>SD</w:t>
      </w:r>
      <w:r w:rsidR="00083E80">
        <w:t xml:space="preserve"> </w:t>
      </w:r>
      <w:r w:rsidR="002E76F0">
        <w:t>=</w:t>
      </w:r>
      <w:r w:rsidR="00083E80">
        <w:t xml:space="preserve"> </w:t>
      </w:r>
      <w:r w:rsidR="00210B7C">
        <w:t xml:space="preserve">18.40) </w:t>
      </w:r>
      <w:r w:rsidR="00307BC6">
        <w:t xml:space="preserve">and </w:t>
      </w:r>
      <w:r w:rsidR="00061118">
        <w:t>59.1% had received their guide dog prior to Covid-19 lockdowns.</w:t>
      </w:r>
    </w:p>
    <w:p w14:paraId="01F24E55" w14:textId="0647FD18" w:rsidR="00DA1486" w:rsidRPr="00376579" w:rsidRDefault="00DA1486" w:rsidP="00847760">
      <w:pPr>
        <w:pStyle w:val="Heading3"/>
        <w:numPr>
          <w:ilvl w:val="0"/>
          <w:numId w:val="0"/>
        </w:numPr>
        <w:ind w:left="720"/>
      </w:pPr>
      <w:r>
        <w:lastRenderedPageBreak/>
        <w:t>Rights, Awareness</w:t>
      </w:r>
      <w:r w:rsidR="00A12D39">
        <w:t xml:space="preserve"> &amp; Enforcement</w:t>
      </w:r>
    </w:p>
    <w:p w14:paraId="2F25EA67" w14:textId="45C1386C" w:rsidR="00B33196" w:rsidRPr="00B33196" w:rsidRDefault="002B186D" w:rsidP="004E00B3">
      <w:r w:rsidRPr="002B186D">
        <w:t>A clear majority of respondents (74.7%) supported the adoption of a single, standardized term in Canada to describe dogs that guide individuals with sight loss, while 25.3% did not support standardization.</w:t>
      </w:r>
      <w:r>
        <w:t xml:space="preserve"> </w:t>
      </w:r>
      <w:r w:rsidR="00611A94" w:rsidRPr="00376579">
        <w:t>Most respondents supported extending public access rights to guide dogs in formal training (77.4%) and to dogs fostered prior to training (65.2%). Support declined for retaining access rights when working guide dogs were temporarily cared for by others (37.0%) and for retired guide dogs (43.2%), with majorities opposing equivalent access in both cases.</w:t>
      </w:r>
      <w:r w:rsidR="004E00B3">
        <w:t xml:space="preserve"> </w:t>
      </w:r>
      <w:r w:rsidR="00B33196" w:rsidRPr="00B33196">
        <w:t>Respondents were divided on the adequacy of existing penalties for violations of guide dog public access laws, with 52.0% indicating that current fines and penalties were sufficient and 48.0% indicating they were not. Among those who viewed penalties as insufficient, the most frequently endorsed alternatives were fines exceeding $10,000 (35.9%), followed by fines ranging from $5,000 to $10,000 (24.1%), jail upon conviction (26.2%), and a combination of jail and fines (13.8%). A large majority of respondents (86.0%) supported the introduction of progressively stronger penalties for individuals who repeatedly violate guide dog access laws, while 14.0% did not.</w:t>
      </w:r>
    </w:p>
    <w:p w14:paraId="5C9E3899" w14:textId="77777777" w:rsidR="00B33196" w:rsidRPr="00B33196" w:rsidRDefault="00B33196" w:rsidP="00B33196">
      <w:r w:rsidRPr="00B33196">
        <w:lastRenderedPageBreak/>
        <w:t>Experiences related to public awareness and attitudes were common, with 53.3% of respondents reporting that they had encountered public attitude barriers while working with a guide dog, compared to 46.7% who reported no such experiences. Support for increased public awareness efforts was high, with 87.5% of respondents indicating that Canada should do more to educate the public about guide dogs, the work they perform, and the legal protections afforded to them. Similarly, strong support was expressed for the adoption of driving, or “white cane,” laws in Canada, with 87.1% of respondents viewing such protections as useful and 12.9% indicating they would not be useful.</w:t>
      </w:r>
    </w:p>
    <w:p w14:paraId="050EAAA3" w14:textId="7329F3D2" w:rsidR="00656898" w:rsidRDefault="007D38DC" w:rsidP="00847760">
      <w:pPr>
        <w:pStyle w:val="Heading3"/>
        <w:numPr>
          <w:ilvl w:val="0"/>
          <w:numId w:val="0"/>
        </w:numPr>
        <w:ind w:left="720"/>
      </w:pPr>
      <w:r>
        <w:t>Public Access</w:t>
      </w:r>
      <w:r w:rsidR="00DA1486">
        <w:t xml:space="preserve"> for Guide Dogs</w:t>
      </w:r>
    </w:p>
    <w:p w14:paraId="1B5D8EED" w14:textId="77777777" w:rsidR="007D38DC" w:rsidRDefault="007D38DC" w:rsidP="007D38DC">
      <w:r>
        <w:t xml:space="preserve">The survey documented frequent encounters with access barriers across multiple public settings. When asked whether individuals had ever experienced public access barriers with their guide dogs, 52.9% of respondents said yes and 47.1% said no. Among those reporting barriers, 86.6% indicated these barriers occurred within the last five years, and for 13.4% reported barriers were experienced more than five years ago. When a guide dog was not permitted, 60.7% of respondents had received accommodations. </w:t>
      </w:r>
    </w:p>
    <w:p w14:paraId="268C0744" w14:textId="7AC8DF62" w:rsidR="00D404FB" w:rsidRDefault="00D404FB" w:rsidP="00F0381D">
      <w:r>
        <w:lastRenderedPageBreak/>
        <w:t xml:space="preserve">Respondents were asked which barrier locations were most personally impactful. The top three were transportation (13.4%), restaurants (9.4%), and health care services (9.1%), followed by grocery stores (8.0%), housing (6.2%), and educational institutions (6.2%). </w:t>
      </w:r>
    </w:p>
    <w:p w14:paraId="61F21978" w14:textId="6A638603" w:rsidR="00566ADB" w:rsidRPr="00500421" w:rsidRDefault="00566ADB" w:rsidP="004A57D2">
      <w:pPr>
        <w:pStyle w:val="Caption"/>
        <w:rPr>
          <w:b w:val="0"/>
          <w:bCs/>
        </w:rPr>
      </w:pPr>
      <w:bookmarkStart w:id="135" w:name="_Toc228387193"/>
      <w:r w:rsidRPr="00500421">
        <w:rPr>
          <w:i w:val="0"/>
          <w:iCs w:val="0"/>
        </w:rPr>
        <w:t xml:space="preserve">Table </w:t>
      </w:r>
      <w:r w:rsidRPr="00500421">
        <w:rPr>
          <w:i w:val="0"/>
          <w:iCs w:val="0"/>
        </w:rPr>
        <w:fldChar w:fldCharType="begin"/>
      </w:r>
      <w:r w:rsidRPr="00500421">
        <w:rPr>
          <w:i w:val="0"/>
          <w:iCs w:val="0"/>
        </w:rPr>
        <w:instrText xml:space="preserve"> SEQ Table \* ARABIC </w:instrText>
      </w:r>
      <w:r w:rsidRPr="00500421">
        <w:rPr>
          <w:i w:val="0"/>
          <w:iCs w:val="0"/>
        </w:rPr>
        <w:fldChar w:fldCharType="separate"/>
      </w:r>
      <w:r w:rsidR="00C06BF6">
        <w:rPr>
          <w:i w:val="0"/>
          <w:iCs w:val="0"/>
          <w:noProof/>
        </w:rPr>
        <w:t>4</w:t>
      </w:r>
      <w:r w:rsidRPr="00500421">
        <w:rPr>
          <w:i w:val="0"/>
          <w:iCs w:val="0"/>
          <w:noProof/>
        </w:rPr>
        <w:fldChar w:fldCharType="end"/>
      </w:r>
      <w:r w:rsidRPr="00500421">
        <w:rPr>
          <w:i w:val="0"/>
          <w:iCs w:val="0"/>
        </w:rPr>
        <w:t xml:space="preserve"> </w:t>
      </w:r>
      <w:r>
        <w:br/>
      </w:r>
      <w:r w:rsidR="00731A5D" w:rsidRPr="00500421">
        <w:rPr>
          <w:b w:val="0"/>
          <w:bCs/>
        </w:rPr>
        <w:t>Public Access Locations with Highest Reported Impact Among Guide Dog Handlers (2022)</w:t>
      </w:r>
      <w:bookmarkEnd w:id="135"/>
    </w:p>
    <w:tbl>
      <w:tblPr>
        <w:tblStyle w:val="ListTable3"/>
        <w:tblW w:w="6318" w:type="dxa"/>
        <w:tblLook w:val="04A0" w:firstRow="1" w:lastRow="0" w:firstColumn="1" w:lastColumn="0" w:noHBand="0" w:noVBand="1"/>
      </w:tblPr>
      <w:tblGrid>
        <w:gridCol w:w="3978"/>
        <w:gridCol w:w="2340"/>
      </w:tblGrid>
      <w:tr w:rsidR="00566ADB" w14:paraId="50D77ADD" w14:textId="77777777" w:rsidTr="00395C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8" w:type="dxa"/>
            <w:hideMark/>
          </w:tcPr>
          <w:p w14:paraId="1FC7FD51" w14:textId="0D688BBF" w:rsidR="00566ADB" w:rsidRPr="00984E24" w:rsidRDefault="00566ADB" w:rsidP="00AC1CCC">
            <w:pPr>
              <w:ind w:firstLine="0"/>
              <w:rPr>
                <w:lang w:eastAsia="en-CA"/>
              </w:rPr>
            </w:pPr>
            <w:r w:rsidRPr="00984E24">
              <w:t xml:space="preserve">Public Access </w:t>
            </w:r>
            <w:r w:rsidR="00780CA7">
              <w:t xml:space="preserve">Locations </w:t>
            </w:r>
            <w:r w:rsidRPr="00984E24">
              <w:t>Most Personally Impactful</w:t>
            </w:r>
          </w:p>
          <w:p w14:paraId="564DD568" w14:textId="77777777" w:rsidR="00566ADB" w:rsidRPr="00984E24" w:rsidRDefault="00566ADB" w:rsidP="00AC1CCC">
            <w:pPr>
              <w:ind w:firstLine="0"/>
            </w:pPr>
          </w:p>
        </w:tc>
        <w:tc>
          <w:tcPr>
            <w:tcW w:w="2340" w:type="dxa"/>
            <w:hideMark/>
          </w:tcPr>
          <w:p w14:paraId="0300CD7A" w14:textId="3A4C4F68" w:rsidR="00566ADB" w:rsidRPr="00CF79B7" w:rsidRDefault="00566ADB" w:rsidP="00F0381D">
            <w:pPr>
              <w:cnfStyle w:val="100000000000" w:firstRow="1" w:lastRow="0" w:firstColumn="0" w:lastColumn="0" w:oddVBand="0" w:evenVBand="0" w:oddHBand="0" w:evenHBand="0" w:firstRowFirstColumn="0" w:firstRowLastColumn="0" w:lastRowFirstColumn="0" w:lastRowLastColumn="0"/>
              <w:rPr>
                <w:b w:val="0"/>
                <w:bCs w:val="0"/>
              </w:rPr>
            </w:pPr>
            <w:r w:rsidRPr="00CF79B7">
              <w:t>Percent</w:t>
            </w:r>
            <w:r w:rsidR="00395C7B">
              <w:t>age</w:t>
            </w:r>
          </w:p>
        </w:tc>
      </w:tr>
      <w:tr w:rsidR="00566ADB" w14:paraId="205DBC62"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75915D4E" w14:textId="57CAB1A3" w:rsidR="00566ADB" w:rsidRDefault="00566ADB" w:rsidP="00AC1CCC">
            <w:pPr>
              <w:ind w:firstLine="0"/>
            </w:pPr>
            <w:r>
              <w:t xml:space="preserve">Transportation </w:t>
            </w:r>
            <w:r w:rsidR="005933CC">
              <w:t>terminals</w:t>
            </w:r>
          </w:p>
        </w:tc>
        <w:tc>
          <w:tcPr>
            <w:tcW w:w="2340" w:type="dxa"/>
            <w:hideMark/>
          </w:tcPr>
          <w:p w14:paraId="64B57531"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13.4%</w:t>
            </w:r>
          </w:p>
        </w:tc>
      </w:tr>
      <w:tr w:rsidR="00566ADB" w14:paraId="457E932A"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4710BE70" w14:textId="77777777" w:rsidR="00566ADB" w:rsidRDefault="00566ADB" w:rsidP="00AC1CCC">
            <w:pPr>
              <w:ind w:firstLine="0"/>
            </w:pPr>
            <w:r>
              <w:t>Restaurants</w:t>
            </w:r>
          </w:p>
        </w:tc>
        <w:tc>
          <w:tcPr>
            <w:tcW w:w="2340" w:type="dxa"/>
            <w:hideMark/>
          </w:tcPr>
          <w:p w14:paraId="6866A96C"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9.4%</w:t>
            </w:r>
          </w:p>
        </w:tc>
      </w:tr>
      <w:tr w:rsidR="00566ADB" w14:paraId="75DC4E56"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23E0808F" w14:textId="77777777" w:rsidR="00566ADB" w:rsidRDefault="00566ADB" w:rsidP="00AC1CCC">
            <w:pPr>
              <w:ind w:firstLine="0"/>
            </w:pPr>
            <w:r>
              <w:t>Health care services</w:t>
            </w:r>
          </w:p>
        </w:tc>
        <w:tc>
          <w:tcPr>
            <w:tcW w:w="2340" w:type="dxa"/>
            <w:hideMark/>
          </w:tcPr>
          <w:p w14:paraId="76B0C0AB"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9.1%</w:t>
            </w:r>
          </w:p>
        </w:tc>
      </w:tr>
      <w:tr w:rsidR="00566ADB" w14:paraId="6DE30E51"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1FB640F1" w14:textId="77777777" w:rsidR="00566ADB" w:rsidRDefault="00566ADB" w:rsidP="00AC1CCC">
            <w:pPr>
              <w:ind w:firstLine="0"/>
            </w:pPr>
            <w:r>
              <w:t>Grocery stores</w:t>
            </w:r>
          </w:p>
        </w:tc>
        <w:tc>
          <w:tcPr>
            <w:tcW w:w="2340" w:type="dxa"/>
            <w:hideMark/>
          </w:tcPr>
          <w:p w14:paraId="2DE60F3B"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8.0%</w:t>
            </w:r>
          </w:p>
        </w:tc>
      </w:tr>
      <w:tr w:rsidR="00566ADB" w14:paraId="5750B56D"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3AA928FF" w14:textId="77777777" w:rsidR="00566ADB" w:rsidRDefault="00566ADB" w:rsidP="00AC1CCC">
            <w:pPr>
              <w:ind w:firstLine="0"/>
            </w:pPr>
            <w:r>
              <w:t>Housing</w:t>
            </w:r>
          </w:p>
        </w:tc>
        <w:tc>
          <w:tcPr>
            <w:tcW w:w="2340" w:type="dxa"/>
            <w:hideMark/>
          </w:tcPr>
          <w:p w14:paraId="069683F3"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6.2%</w:t>
            </w:r>
          </w:p>
        </w:tc>
      </w:tr>
      <w:tr w:rsidR="00566ADB" w14:paraId="3CB95D32"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4E4D009F" w14:textId="77777777" w:rsidR="00566ADB" w:rsidRDefault="00566ADB" w:rsidP="00AC1CCC">
            <w:pPr>
              <w:ind w:firstLine="0"/>
            </w:pPr>
            <w:r>
              <w:t>Educational institutions</w:t>
            </w:r>
          </w:p>
        </w:tc>
        <w:tc>
          <w:tcPr>
            <w:tcW w:w="2340" w:type="dxa"/>
            <w:hideMark/>
          </w:tcPr>
          <w:p w14:paraId="7B1DAE6C"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6.2%</w:t>
            </w:r>
          </w:p>
        </w:tc>
      </w:tr>
      <w:tr w:rsidR="00566ADB" w14:paraId="3BD7AA60"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2E3919A9" w14:textId="77777777" w:rsidR="00566ADB" w:rsidRDefault="00566ADB" w:rsidP="00AC1CCC">
            <w:pPr>
              <w:ind w:firstLine="0"/>
            </w:pPr>
            <w:r>
              <w:t>Airports</w:t>
            </w:r>
          </w:p>
        </w:tc>
        <w:tc>
          <w:tcPr>
            <w:tcW w:w="2340" w:type="dxa"/>
            <w:hideMark/>
          </w:tcPr>
          <w:p w14:paraId="5F9A41B5"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3.3%</w:t>
            </w:r>
          </w:p>
        </w:tc>
      </w:tr>
      <w:tr w:rsidR="00566ADB" w14:paraId="1504A21A"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5BAFF4BF" w14:textId="77777777" w:rsidR="00566ADB" w:rsidRDefault="00566ADB" w:rsidP="00AC1CCC">
            <w:pPr>
              <w:ind w:firstLine="0"/>
            </w:pPr>
            <w:r>
              <w:t>Employment settings</w:t>
            </w:r>
          </w:p>
        </w:tc>
        <w:tc>
          <w:tcPr>
            <w:tcW w:w="2340" w:type="dxa"/>
            <w:hideMark/>
          </w:tcPr>
          <w:p w14:paraId="084D355B"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2.9%</w:t>
            </w:r>
          </w:p>
        </w:tc>
      </w:tr>
      <w:tr w:rsidR="00566ADB" w14:paraId="789A6603"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6DCB8234" w14:textId="77777777" w:rsidR="00566ADB" w:rsidRDefault="00566ADB" w:rsidP="00AC1CCC">
            <w:pPr>
              <w:ind w:firstLine="0"/>
            </w:pPr>
            <w:r>
              <w:t>Hotels</w:t>
            </w:r>
          </w:p>
        </w:tc>
        <w:tc>
          <w:tcPr>
            <w:tcW w:w="2340" w:type="dxa"/>
            <w:hideMark/>
          </w:tcPr>
          <w:p w14:paraId="334EFF06"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2.5%</w:t>
            </w:r>
          </w:p>
        </w:tc>
      </w:tr>
      <w:tr w:rsidR="00566ADB" w14:paraId="2B9E5A8D"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56488350" w14:textId="77777777" w:rsidR="00566ADB" w:rsidRDefault="00566ADB" w:rsidP="00AC1CCC">
            <w:pPr>
              <w:ind w:firstLine="0"/>
            </w:pPr>
            <w:r>
              <w:t>Tourist attractions</w:t>
            </w:r>
          </w:p>
        </w:tc>
        <w:tc>
          <w:tcPr>
            <w:tcW w:w="2340" w:type="dxa"/>
            <w:hideMark/>
          </w:tcPr>
          <w:p w14:paraId="36E28894"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2.2%</w:t>
            </w:r>
          </w:p>
        </w:tc>
      </w:tr>
      <w:tr w:rsidR="00566ADB" w14:paraId="197378A7" w14:textId="77777777" w:rsidTr="00395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hideMark/>
          </w:tcPr>
          <w:p w14:paraId="7504A351" w14:textId="77777777" w:rsidR="00566ADB" w:rsidRDefault="00566ADB" w:rsidP="00AC1CCC">
            <w:pPr>
              <w:ind w:firstLine="0"/>
            </w:pPr>
            <w:r>
              <w:lastRenderedPageBreak/>
              <w:t>Government buildings</w:t>
            </w:r>
          </w:p>
        </w:tc>
        <w:tc>
          <w:tcPr>
            <w:tcW w:w="2340" w:type="dxa"/>
            <w:hideMark/>
          </w:tcPr>
          <w:p w14:paraId="4DFA614C" w14:textId="77777777" w:rsidR="00566ADB" w:rsidRDefault="00566ADB" w:rsidP="00F0381D">
            <w:pPr>
              <w:cnfStyle w:val="000000100000" w:firstRow="0" w:lastRow="0" w:firstColumn="0" w:lastColumn="0" w:oddVBand="0" w:evenVBand="0" w:oddHBand="1" w:evenHBand="0" w:firstRowFirstColumn="0" w:firstRowLastColumn="0" w:lastRowFirstColumn="0" w:lastRowLastColumn="0"/>
            </w:pPr>
            <w:r>
              <w:t>1.1%</w:t>
            </w:r>
          </w:p>
        </w:tc>
      </w:tr>
      <w:tr w:rsidR="00566ADB" w14:paraId="0EB9F30F" w14:textId="77777777" w:rsidTr="00395C7B">
        <w:tc>
          <w:tcPr>
            <w:cnfStyle w:val="001000000000" w:firstRow="0" w:lastRow="0" w:firstColumn="1" w:lastColumn="0" w:oddVBand="0" w:evenVBand="0" w:oddHBand="0" w:evenHBand="0" w:firstRowFirstColumn="0" w:firstRowLastColumn="0" w:lastRowFirstColumn="0" w:lastRowLastColumn="0"/>
            <w:tcW w:w="3978" w:type="dxa"/>
            <w:hideMark/>
          </w:tcPr>
          <w:p w14:paraId="7DE8628D" w14:textId="77777777" w:rsidR="00566ADB" w:rsidRDefault="00566ADB" w:rsidP="00AC1CCC">
            <w:pPr>
              <w:ind w:firstLine="0"/>
            </w:pPr>
            <w:r>
              <w:t>Athletic and recreational facilities</w:t>
            </w:r>
          </w:p>
        </w:tc>
        <w:tc>
          <w:tcPr>
            <w:tcW w:w="2340" w:type="dxa"/>
            <w:hideMark/>
          </w:tcPr>
          <w:p w14:paraId="5719AACA" w14:textId="77777777" w:rsidR="00566ADB" w:rsidRDefault="00566ADB" w:rsidP="00F0381D">
            <w:pPr>
              <w:cnfStyle w:val="000000000000" w:firstRow="0" w:lastRow="0" w:firstColumn="0" w:lastColumn="0" w:oddVBand="0" w:evenVBand="0" w:oddHBand="0" w:evenHBand="0" w:firstRowFirstColumn="0" w:firstRowLastColumn="0" w:lastRowFirstColumn="0" w:lastRowLastColumn="0"/>
            </w:pPr>
            <w:r>
              <w:t>1.1%</w:t>
            </w:r>
          </w:p>
        </w:tc>
      </w:tr>
    </w:tbl>
    <w:p w14:paraId="4A8AABD1" w14:textId="0128835D" w:rsidR="00566ADB" w:rsidRDefault="00566ADB" w:rsidP="00F0381D">
      <w:pPr>
        <w:rPr>
          <w:lang w:eastAsia="en-CA"/>
        </w:rPr>
      </w:pPr>
      <w:r>
        <w:t xml:space="preserve">Across venues (e.g., shopping centres, grocery stores, restaurants, health care facilities, entertainment venues, government service centres, places of worship), recurring difficulty was attributed to “others’ lack of understanding,” and avoidance behaviours were reported (e.g., avoiding new venues out of fear of discrimination; sometimes choosing not to bring a guide dog). </w:t>
      </w:r>
    </w:p>
    <w:p w14:paraId="0E315AD3" w14:textId="77777777" w:rsidR="00262CFB" w:rsidRDefault="00566ADB" w:rsidP="00262CFB">
      <w:r>
        <w:t xml:space="preserve">In venue-specific items (10 public spaces, plus transportation and education), additional descriptive indicators are presented for frequency of difficulty, perceived impact, and avoidance behaviours. Illustratively: for shopping centres, 36.6% reported difficulty accessing shopping centres at least 3 to 4 times per year due to others’ lack of understanding; 21.3% reported avoiding new shopping centres at least somewhat due to fear of discrimination; and 35.7% reported sometimes choosing not to bring their guide dog. For grocery stores, 32.1% reported difficulty at least 3–4 times per year; 20.9% reported avoiding new grocery stores at least somewhat; and 33.0% reported sometimes choosing not to bring their guide dog. For restaurants, nearly one-third reported trouble accessing restaurants at least </w:t>
      </w:r>
      <w:r>
        <w:lastRenderedPageBreak/>
        <w:t>3–4 times per year and 31.4% reported sometimes choosing not to bring their guide dog.</w:t>
      </w:r>
      <w:bookmarkStart w:id="136" w:name="_Toc228387194"/>
    </w:p>
    <w:p w14:paraId="18D83200" w14:textId="756A6854" w:rsidR="009F768F" w:rsidRPr="00262CFB" w:rsidRDefault="009F768F" w:rsidP="00262CFB">
      <w:pPr>
        <w:rPr>
          <w:lang w:eastAsia="en-CA"/>
        </w:rPr>
      </w:pPr>
      <w:r w:rsidRPr="003F5575">
        <w:rPr>
          <w:i/>
          <w:iCs/>
        </w:rPr>
        <w:t xml:space="preserve">Table </w:t>
      </w:r>
      <w:r w:rsidR="00085764" w:rsidRPr="003F5575">
        <w:rPr>
          <w:i/>
          <w:iCs/>
        </w:rPr>
        <w:fldChar w:fldCharType="begin"/>
      </w:r>
      <w:r w:rsidR="00085764" w:rsidRPr="003F5575">
        <w:rPr>
          <w:i/>
          <w:iCs/>
        </w:rPr>
        <w:instrText xml:space="preserve"> SEQ Table \* ARABIC </w:instrText>
      </w:r>
      <w:r w:rsidR="00085764" w:rsidRPr="003F5575">
        <w:rPr>
          <w:i/>
          <w:iCs/>
        </w:rPr>
        <w:fldChar w:fldCharType="separate"/>
      </w:r>
      <w:r w:rsidR="00C06BF6">
        <w:rPr>
          <w:i/>
          <w:iCs/>
          <w:noProof/>
        </w:rPr>
        <w:t>5</w:t>
      </w:r>
      <w:r w:rsidR="00085764" w:rsidRPr="003F5575">
        <w:rPr>
          <w:i/>
          <w:iCs/>
          <w:noProof/>
        </w:rPr>
        <w:fldChar w:fldCharType="end"/>
      </w:r>
      <w:r>
        <w:t xml:space="preserve"> </w:t>
      </w:r>
      <w:r w:rsidR="007C2512">
        <w:br/>
      </w:r>
      <w:r w:rsidRPr="003F5575">
        <w:rPr>
          <w:b/>
          <w:bCs/>
        </w:rPr>
        <w:t xml:space="preserve">Transportation refusals reported in Canada </w:t>
      </w:r>
      <w:r w:rsidR="00731A5D" w:rsidRPr="003F5575">
        <w:rPr>
          <w:b/>
          <w:bCs/>
        </w:rPr>
        <w:t xml:space="preserve">from </w:t>
      </w:r>
      <w:r w:rsidRPr="003F5575">
        <w:rPr>
          <w:b/>
          <w:bCs/>
        </w:rPr>
        <w:t>Guide Dog Handlers Experiences Survey</w:t>
      </w:r>
      <w:r w:rsidR="00731A5D" w:rsidRPr="003F5575">
        <w:rPr>
          <w:b/>
          <w:bCs/>
        </w:rPr>
        <w:t xml:space="preserve"> 2022</w:t>
      </w:r>
      <w:bookmarkEnd w:id="136"/>
    </w:p>
    <w:tbl>
      <w:tblPr>
        <w:tblStyle w:val="ListTable3"/>
        <w:tblW w:w="8000" w:type="dxa"/>
        <w:tblLook w:val="04A0" w:firstRow="1" w:lastRow="0" w:firstColumn="1" w:lastColumn="0" w:noHBand="0" w:noVBand="1"/>
      </w:tblPr>
      <w:tblGrid>
        <w:gridCol w:w="3860"/>
        <w:gridCol w:w="4140"/>
      </w:tblGrid>
      <w:tr w:rsidR="00AA17B1" w:rsidRPr="00AA17B1" w14:paraId="5DC978D0" w14:textId="77777777" w:rsidTr="00492C4F">
        <w:trPr>
          <w:cnfStyle w:val="100000000000" w:firstRow="1" w:lastRow="0" w:firstColumn="0" w:lastColumn="0" w:oddVBand="0" w:evenVBand="0" w:oddHBand="0" w:evenHBand="0" w:firstRowFirstColumn="0" w:firstRowLastColumn="0" w:lastRowFirstColumn="0" w:lastRowLastColumn="0"/>
          <w:trHeight w:val="1440"/>
        </w:trPr>
        <w:tc>
          <w:tcPr>
            <w:cnfStyle w:val="001000000100" w:firstRow="0" w:lastRow="0" w:firstColumn="1" w:lastColumn="0" w:oddVBand="0" w:evenVBand="0" w:oddHBand="0" w:evenHBand="0" w:firstRowFirstColumn="1" w:firstRowLastColumn="0" w:lastRowFirstColumn="0" w:lastRowLastColumn="0"/>
            <w:tcW w:w="8000" w:type="dxa"/>
            <w:gridSpan w:val="2"/>
            <w:hideMark/>
          </w:tcPr>
          <w:p w14:paraId="39ADDB79" w14:textId="77777777" w:rsidR="00AA17B1" w:rsidRPr="006066BD" w:rsidRDefault="00AA17B1" w:rsidP="00F0381D">
            <w:pPr>
              <w:rPr>
                <w:b w:val="0"/>
                <w:bCs w:val="0"/>
                <w:lang w:eastAsia="en-CA"/>
              </w:rPr>
            </w:pPr>
            <w:r w:rsidRPr="006066BD">
              <w:rPr>
                <w:lang w:eastAsia="en-CA"/>
              </w:rPr>
              <w:t>A. Ever refused service by a transportation provider while travelling with a guide dog in Canada†</w:t>
            </w:r>
          </w:p>
        </w:tc>
      </w:tr>
      <w:tr w:rsidR="00AA17B1" w:rsidRPr="00AA17B1" w14:paraId="7E2520EB" w14:textId="77777777" w:rsidTr="00492C4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860" w:type="dxa"/>
            <w:hideMark/>
          </w:tcPr>
          <w:p w14:paraId="152CA4D3" w14:textId="77777777" w:rsidR="00AA17B1" w:rsidRPr="003F5575" w:rsidRDefault="00AA17B1" w:rsidP="00F0381D">
            <w:pPr>
              <w:rPr>
                <w:bCs w:val="0"/>
                <w:lang w:eastAsia="en-CA"/>
              </w:rPr>
            </w:pPr>
            <w:r w:rsidRPr="003F5575">
              <w:rPr>
                <w:bCs w:val="0"/>
                <w:lang w:eastAsia="en-CA"/>
              </w:rPr>
              <w:t>Response</w:t>
            </w:r>
          </w:p>
        </w:tc>
        <w:tc>
          <w:tcPr>
            <w:tcW w:w="4140" w:type="dxa"/>
            <w:hideMark/>
          </w:tcPr>
          <w:p w14:paraId="6CBBDD49" w14:textId="181AE632" w:rsidR="00AA17B1" w:rsidRPr="003F5575" w:rsidRDefault="00AA17B1" w:rsidP="00F0381D">
            <w:pPr>
              <w:cnfStyle w:val="000000100000" w:firstRow="0" w:lastRow="0" w:firstColumn="0" w:lastColumn="0" w:oddVBand="0" w:evenVBand="0" w:oddHBand="1" w:evenHBand="0" w:firstRowFirstColumn="0" w:firstRowLastColumn="0" w:lastRowFirstColumn="0" w:lastRowLastColumn="0"/>
              <w:rPr>
                <w:b/>
                <w:lang w:eastAsia="en-CA"/>
              </w:rPr>
            </w:pPr>
            <w:r w:rsidRPr="003F5575">
              <w:rPr>
                <w:b/>
                <w:lang w:eastAsia="en-CA"/>
              </w:rPr>
              <w:t>Percent</w:t>
            </w:r>
            <w:r w:rsidR="00257054" w:rsidRPr="003F5575">
              <w:rPr>
                <w:b/>
                <w:lang w:eastAsia="en-CA"/>
              </w:rPr>
              <w:t>age</w:t>
            </w:r>
          </w:p>
        </w:tc>
      </w:tr>
      <w:tr w:rsidR="00AA17B1" w:rsidRPr="00AA17B1" w14:paraId="5DD2110B" w14:textId="77777777" w:rsidTr="00492C4F">
        <w:trPr>
          <w:trHeight w:val="372"/>
        </w:trPr>
        <w:tc>
          <w:tcPr>
            <w:cnfStyle w:val="001000000000" w:firstRow="0" w:lastRow="0" w:firstColumn="1" w:lastColumn="0" w:oddVBand="0" w:evenVBand="0" w:oddHBand="0" w:evenHBand="0" w:firstRowFirstColumn="0" w:firstRowLastColumn="0" w:lastRowFirstColumn="0" w:lastRowLastColumn="0"/>
            <w:tcW w:w="3860" w:type="dxa"/>
            <w:hideMark/>
          </w:tcPr>
          <w:p w14:paraId="716CCAAF" w14:textId="77777777" w:rsidR="00AA17B1" w:rsidRPr="003F5575" w:rsidRDefault="00AA17B1" w:rsidP="00F0381D">
            <w:pPr>
              <w:rPr>
                <w:b w:val="0"/>
                <w:bCs w:val="0"/>
                <w:lang w:eastAsia="en-CA"/>
              </w:rPr>
            </w:pPr>
            <w:r w:rsidRPr="003F5575">
              <w:rPr>
                <w:b w:val="0"/>
                <w:bCs w:val="0"/>
                <w:lang w:eastAsia="en-CA"/>
              </w:rPr>
              <w:t>Yes</w:t>
            </w:r>
          </w:p>
        </w:tc>
        <w:tc>
          <w:tcPr>
            <w:tcW w:w="4140" w:type="dxa"/>
            <w:hideMark/>
          </w:tcPr>
          <w:p w14:paraId="75A88A64" w14:textId="77777777" w:rsidR="00AA17B1" w:rsidRPr="00AA17B1" w:rsidRDefault="00AA17B1" w:rsidP="00F0381D">
            <w:pPr>
              <w:cnfStyle w:val="000000000000" w:firstRow="0" w:lastRow="0" w:firstColumn="0" w:lastColumn="0" w:oddVBand="0" w:evenVBand="0" w:oddHBand="0" w:evenHBand="0" w:firstRowFirstColumn="0" w:firstRowLastColumn="0" w:lastRowFirstColumn="0" w:lastRowLastColumn="0"/>
              <w:rPr>
                <w:lang w:eastAsia="en-CA"/>
              </w:rPr>
            </w:pPr>
            <w:r w:rsidRPr="00AA17B1">
              <w:rPr>
                <w:lang w:eastAsia="en-CA"/>
              </w:rPr>
              <w:t>51.10%</w:t>
            </w:r>
          </w:p>
        </w:tc>
      </w:tr>
      <w:tr w:rsidR="00AA17B1" w:rsidRPr="00AA17B1" w14:paraId="79D819A5" w14:textId="77777777" w:rsidTr="00492C4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860" w:type="dxa"/>
            <w:hideMark/>
          </w:tcPr>
          <w:p w14:paraId="5EE4B06E" w14:textId="77777777" w:rsidR="00AA17B1" w:rsidRPr="003F5575" w:rsidRDefault="00AA17B1" w:rsidP="00F0381D">
            <w:pPr>
              <w:rPr>
                <w:b w:val="0"/>
                <w:bCs w:val="0"/>
                <w:lang w:eastAsia="en-CA"/>
              </w:rPr>
            </w:pPr>
            <w:r w:rsidRPr="003F5575">
              <w:rPr>
                <w:b w:val="0"/>
                <w:bCs w:val="0"/>
                <w:lang w:eastAsia="en-CA"/>
              </w:rPr>
              <w:t>No</w:t>
            </w:r>
          </w:p>
        </w:tc>
        <w:tc>
          <w:tcPr>
            <w:tcW w:w="4140" w:type="dxa"/>
            <w:hideMark/>
          </w:tcPr>
          <w:p w14:paraId="06515936" w14:textId="77777777" w:rsidR="00AA17B1" w:rsidRPr="00AA17B1" w:rsidRDefault="00AA17B1" w:rsidP="00F0381D">
            <w:pPr>
              <w:cnfStyle w:val="000000100000" w:firstRow="0" w:lastRow="0" w:firstColumn="0" w:lastColumn="0" w:oddVBand="0" w:evenVBand="0" w:oddHBand="1" w:evenHBand="0" w:firstRowFirstColumn="0" w:firstRowLastColumn="0" w:lastRowFirstColumn="0" w:lastRowLastColumn="0"/>
              <w:rPr>
                <w:lang w:eastAsia="en-CA"/>
              </w:rPr>
            </w:pPr>
            <w:r w:rsidRPr="00AA17B1">
              <w:rPr>
                <w:lang w:eastAsia="en-CA"/>
              </w:rPr>
              <w:t>48.90%</w:t>
            </w:r>
          </w:p>
        </w:tc>
      </w:tr>
      <w:tr w:rsidR="003F5575" w:rsidRPr="00AA17B1" w14:paraId="2B71A07C" w14:textId="77777777" w:rsidTr="00B26EA0">
        <w:trPr>
          <w:trHeight w:val="864"/>
        </w:trPr>
        <w:tc>
          <w:tcPr>
            <w:cnfStyle w:val="001000000000" w:firstRow="0" w:lastRow="0" w:firstColumn="1" w:lastColumn="0" w:oddVBand="0" w:evenVBand="0" w:oddHBand="0" w:evenHBand="0" w:firstRowFirstColumn="0" w:firstRowLastColumn="0" w:lastRowFirstColumn="0" w:lastRowLastColumn="0"/>
            <w:tcW w:w="8000" w:type="dxa"/>
            <w:gridSpan w:val="2"/>
            <w:shd w:val="clear" w:color="auto" w:fill="000000" w:themeFill="text1"/>
          </w:tcPr>
          <w:p w14:paraId="60CCCA16" w14:textId="1C6DA78E" w:rsidR="003F5575" w:rsidRPr="006066BD" w:rsidRDefault="003F5575" w:rsidP="003F5575">
            <w:pPr>
              <w:rPr>
                <w:lang w:eastAsia="en-CA"/>
              </w:rPr>
            </w:pPr>
            <w:r w:rsidRPr="006066BD">
              <w:rPr>
                <w:lang w:eastAsia="en-CA"/>
              </w:rPr>
              <w:t>B. Mode of transportation where refusals occurred‡</w:t>
            </w:r>
          </w:p>
        </w:tc>
      </w:tr>
      <w:tr w:rsidR="003F5575" w:rsidRPr="00AA17B1" w14:paraId="66421B07" w14:textId="77777777" w:rsidTr="00492C4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860" w:type="dxa"/>
            <w:hideMark/>
          </w:tcPr>
          <w:p w14:paraId="089DAAB6" w14:textId="77777777" w:rsidR="003F5575" w:rsidRPr="003F5575" w:rsidRDefault="003F5575" w:rsidP="002E691D">
            <w:pPr>
              <w:pStyle w:val="APAReference"/>
            </w:pPr>
            <w:r w:rsidRPr="003F5575">
              <w:t>Mode</w:t>
            </w:r>
          </w:p>
        </w:tc>
        <w:tc>
          <w:tcPr>
            <w:tcW w:w="4140" w:type="dxa"/>
            <w:hideMark/>
          </w:tcPr>
          <w:p w14:paraId="23AAB081" w14:textId="69CAC7E8" w:rsidR="003F5575" w:rsidRPr="003F5575" w:rsidRDefault="003F5575" w:rsidP="003F5575">
            <w:pPr>
              <w:cnfStyle w:val="000000100000" w:firstRow="0" w:lastRow="0" w:firstColumn="0" w:lastColumn="0" w:oddVBand="0" w:evenVBand="0" w:oddHBand="1" w:evenHBand="0" w:firstRowFirstColumn="0" w:firstRowLastColumn="0" w:lastRowFirstColumn="0" w:lastRowLastColumn="0"/>
              <w:rPr>
                <w:b/>
                <w:bCs/>
                <w:lang w:eastAsia="en-CA"/>
              </w:rPr>
            </w:pPr>
            <w:r w:rsidRPr="003F5575">
              <w:rPr>
                <w:b/>
                <w:bCs/>
                <w:lang w:eastAsia="en-CA"/>
              </w:rPr>
              <w:t>Percent</w:t>
            </w:r>
            <w:r>
              <w:rPr>
                <w:b/>
                <w:bCs/>
                <w:lang w:eastAsia="en-CA"/>
              </w:rPr>
              <w:t>age</w:t>
            </w:r>
          </w:p>
        </w:tc>
      </w:tr>
      <w:tr w:rsidR="003F5575" w:rsidRPr="00AA17B1" w14:paraId="1A351B2F" w14:textId="77777777" w:rsidTr="00492C4F">
        <w:trPr>
          <w:trHeight w:val="372"/>
        </w:trPr>
        <w:tc>
          <w:tcPr>
            <w:cnfStyle w:val="001000000000" w:firstRow="0" w:lastRow="0" w:firstColumn="1" w:lastColumn="0" w:oddVBand="0" w:evenVBand="0" w:oddHBand="0" w:evenHBand="0" w:firstRowFirstColumn="0" w:firstRowLastColumn="0" w:lastRowFirstColumn="0" w:lastRowLastColumn="0"/>
            <w:tcW w:w="3860" w:type="dxa"/>
            <w:hideMark/>
          </w:tcPr>
          <w:p w14:paraId="1113D767" w14:textId="77777777" w:rsidR="003F5575" w:rsidRPr="002E691D" w:rsidRDefault="003F5575" w:rsidP="002E691D">
            <w:pPr>
              <w:pStyle w:val="APAReference"/>
            </w:pPr>
            <w:r w:rsidRPr="002E691D">
              <w:t>Taxis</w:t>
            </w:r>
          </w:p>
        </w:tc>
        <w:tc>
          <w:tcPr>
            <w:tcW w:w="4140" w:type="dxa"/>
            <w:hideMark/>
          </w:tcPr>
          <w:p w14:paraId="413B478F" w14:textId="77777777" w:rsidR="003F5575" w:rsidRPr="00AA17B1" w:rsidRDefault="003F5575" w:rsidP="003F5575">
            <w:pPr>
              <w:cnfStyle w:val="000000000000" w:firstRow="0" w:lastRow="0" w:firstColumn="0" w:lastColumn="0" w:oddVBand="0" w:evenVBand="0" w:oddHBand="0" w:evenHBand="0" w:firstRowFirstColumn="0" w:firstRowLastColumn="0" w:lastRowFirstColumn="0" w:lastRowLastColumn="0"/>
              <w:rPr>
                <w:lang w:eastAsia="en-CA"/>
              </w:rPr>
            </w:pPr>
            <w:r w:rsidRPr="00AA17B1">
              <w:rPr>
                <w:lang w:eastAsia="en-CA"/>
              </w:rPr>
              <w:t>25.20%</w:t>
            </w:r>
          </w:p>
        </w:tc>
      </w:tr>
      <w:tr w:rsidR="003F5575" w:rsidRPr="00AA17B1" w14:paraId="35C58042" w14:textId="77777777" w:rsidTr="00492C4F">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860" w:type="dxa"/>
            <w:hideMark/>
          </w:tcPr>
          <w:p w14:paraId="02609293" w14:textId="77777777" w:rsidR="003F5575" w:rsidRPr="002E691D" w:rsidRDefault="003F5575" w:rsidP="002E691D">
            <w:pPr>
              <w:pStyle w:val="APAReference"/>
            </w:pPr>
            <w:r w:rsidRPr="002E691D">
              <w:t>Inter-provincial airlines</w:t>
            </w:r>
          </w:p>
        </w:tc>
        <w:tc>
          <w:tcPr>
            <w:tcW w:w="4140" w:type="dxa"/>
            <w:hideMark/>
          </w:tcPr>
          <w:p w14:paraId="4DE3C33B" w14:textId="77777777" w:rsidR="003F5575" w:rsidRPr="00AA17B1" w:rsidRDefault="003F5575" w:rsidP="003F5575">
            <w:pPr>
              <w:cnfStyle w:val="000000100000" w:firstRow="0" w:lastRow="0" w:firstColumn="0" w:lastColumn="0" w:oddVBand="0" w:evenVBand="0" w:oddHBand="1" w:evenHBand="0" w:firstRowFirstColumn="0" w:firstRowLastColumn="0" w:lastRowFirstColumn="0" w:lastRowLastColumn="0"/>
              <w:rPr>
                <w:lang w:eastAsia="en-CA"/>
              </w:rPr>
            </w:pPr>
            <w:r w:rsidRPr="00AA17B1">
              <w:rPr>
                <w:lang w:eastAsia="en-CA"/>
              </w:rPr>
              <w:t>16.10%</w:t>
            </w:r>
          </w:p>
        </w:tc>
      </w:tr>
      <w:tr w:rsidR="003F5575" w:rsidRPr="00AA17B1" w14:paraId="2CBD0BC8" w14:textId="77777777" w:rsidTr="00492C4F">
        <w:trPr>
          <w:trHeight w:val="588"/>
        </w:trPr>
        <w:tc>
          <w:tcPr>
            <w:cnfStyle w:val="001000000000" w:firstRow="0" w:lastRow="0" w:firstColumn="1" w:lastColumn="0" w:oddVBand="0" w:evenVBand="0" w:oddHBand="0" w:evenHBand="0" w:firstRowFirstColumn="0" w:firstRowLastColumn="0" w:lastRowFirstColumn="0" w:lastRowLastColumn="0"/>
            <w:tcW w:w="3860" w:type="dxa"/>
            <w:hideMark/>
          </w:tcPr>
          <w:p w14:paraId="74D63BF1" w14:textId="77777777" w:rsidR="003F5575" w:rsidRPr="002E691D" w:rsidRDefault="003F5575" w:rsidP="002E691D">
            <w:pPr>
              <w:pStyle w:val="APAReference"/>
            </w:pPr>
            <w:r w:rsidRPr="002E691D">
              <w:t>Municipal bus lines</w:t>
            </w:r>
          </w:p>
        </w:tc>
        <w:tc>
          <w:tcPr>
            <w:tcW w:w="4140" w:type="dxa"/>
            <w:hideMark/>
          </w:tcPr>
          <w:p w14:paraId="59C66FD4" w14:textId="77777777" w:rsidR="003F5575" w:rsidRPr="00AA17B1" w:rsidRDefault="003F5575" w:rsidP="003F5575">
            <w:pPr>
              <w:cnfStyle w:val="000000000000" w:firstRow="0" w:lastRow="0" w:firstColumn="0" w:lastColumn="0" w:oddVBand="0" w:evenVBand="0" w:oddHBand="0" w:evenHBand="0" w:firstRowFirstColumn="0" w:firstRowLastColumn="0" w:lastRowFirstColumn="0" w:lastRowLastColumn="0"/>
              <w:rPr>
                <w:lang w:eastAsia="en-CA"/>
              </w:rPr>
            </w:pPr>
            <w:r w:rsidRPr="00AA17B1">
              <w:rPr>
                <w:lang w:eastAsia="en-CA"/>
              </w:rPr>
              <w:t>16.10%</w:t>
            </w:r>
          </w:p>
        </w:tc>
      </w:tr>
      <w:tr w:rsidR="003F5575" w:rsidRPr="00AA17B1" w14:paraId="6376731C" w14:textId="77777777" w:rsidTr="00492C4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860" w:type="dxa"/>
            <w:hideMark/>
          </w:tcPr>
          <w:p w14:paraId="6B79C37B" w14:textId="77777777" w:rsidR="003F5575" w:rsidRPr="002E691D" w:rsidRDefault="003F5575" w:rsidP="002E691D">
            <w:pPr>
              <w:pStyle w:val="APAReference"/>
            </w:pPr>
            <w:r w:rsidRPr="002E691D">
              <w:t>Ride-share companies</w:t>
            </w:r>
          </w:p>
        </w:tc>
        <w:tc>
          <w:tcPr>
            <w:tcW w:w="4140" w:type="dxa"/>
            <w:hideMark/>
          </w:tcPr>
          <w:p w14:paraId="394D3EFE" w14:textId="77777777" w:rsidR="003F5575" w:rsidRPr="00AA17B1" w:rsidRDefault="003F5575" w:rsidP="003F5575">
            <w:pPr>
              <w:cnfStyle w:val="000000100000" w:firstRow="0" w:lastRow="0" w:firstColumn="0" w:lastColumn="0" w:oddVBand="0" w:evenVBand="0" w:oddHBand="1" w:evenHBand="0" w:firstRowFirstColumn="0" w:firstRowLastColumn="0" w:lastRowFirstColumn="0" w:lastRowLastColumn="0"/>
              <w:rPr>
                <w:lang w:eastAsia="en-CA"/>
              </w:rPr>
            </w:pPr>
            <w:r w:rsidRPr="00AA17B1">
              <w:rPr>
                <w:lang w:eastAsia="en-CA"/>
              </w:rPr>
              <w:t>11.60%</w:t>
            </w:r>
          </w:p>
        </w:tc>
      </w:tr>
      <w:tr w:rsidR="003F5575" w:rsidRPr="00AA17B1" w14:paraId="4D07801C" w14:textId="77777777" w:rsidTr="00686FB4">
        <w:trPr>
          <w:trHeight w:val="588"/>
        </w:trPr>
        <w:tc>
          <w:tcPr>
            <w:cnfStyle w:val="001000000000" w:firstRow="0" w:lastRow="0" w:firstColumn="1" w:lastColumn="0" w:oddVBand="0" w:evenVBand="0" w:oddHBand="0" w:evenHBand="0" w:firstRowFirstColumn="0" w:firstRowLastColumn="0" w:lastRowFirstColumn="0" w:lastRowLastColumn="0"/>
            <w:tcW w:w="3860" w:type="dxa"/>
            <w:shd w:val="clear" w:color="auto" w:fill="000000" w:themeFill="text1"/>
            <w:hideMark/>
          </w:tcPr>
          <w:p w14:paraId="16E79C48" w14:textId="430505DB" w:rsidR="003F5575" w:rsidRPr="00686FB4" w:rsidRDefault="0016118B" w:rsidP="00686FB4">
            <w:pPr>
              <w:pStyle w:val="APAReference"/>
            </w:pPr>
            <w:r w:rsidRPr="00686FB4">
              <w:t>Refusal w</w:t>
            </w:r>
            <w:r w:rsidR="003F5575" w:rsidRPr="00686FB4">
              <w:t xml:space="preserve">ithin the last 5 </w:t>
            </w:r>
            <w:r w:rsidR="003F5575" w:rsidRPr="00686FB4">
              <w:lastRenderedPageBreak/>
              <w:t>years</w:t>
            </w:r>
            <w:r w:rsidRPr="00686FB4">
              <w:t>‡</w:t>
            </w:r>
          </w:p>
        </w:tc>
        <w:tc>
          <w:tcPr>
            <w:tcW w:w="4140" w:type="dxa"/>
            <w:shd w:val="clear" w:color="auto" w:fill="000000" w:themeFill="text1"/>
            <w:hideMark/>
          </w:tcPr>
          <w:p w14:paraId="4E632822" w14:textId="77777777" w:rsidR="003F5575" w:rsidRPr="00686FB4" w:rsidRDefault="003F5575" w:rsidP="003F5575">
            <w:pPr>
              <w:cnfStyle w:val="000000000000" w:firstRow="0" w:lastRow="0" w:firstColumn="0" w:lastColumn="0" w:oddVBand="0" w:evenVBand="0" w:oddHBand="0" w:evenHBand="0" w:firstRowFirstColumn="0" w:firstRowLastColumn="0" w:lastRowFirstColumn="0" w:lastRowLastColumn="0"/>
              <w:rPr>
                <w:color w:val="FFFFFF" w:themeColor="background1"/>
                <w:lang w:eastAsia="en-CA"/>
              </w:rPr>
            </w:pPr>
            <w:r w:rsidRPr="00686FB4">
              <w:rPr>
                <w:color w:val="FFFFFF" w:themeColor="background1"/>
                <w:lang w:eastAsia="en-CA"/>
              </w:rPr>
              <w:lastRenderedPageBreak/>
              <w:t>92.80%</w:t>
            </w:r>
          </w:p>
        </w:tc>
      </w:tr>
    </w:tbl>
    <w:p w14:paraId="4A6FCA2B" w14:textId="15CC77A0" w:rsidR="00AA17B1" w:rsidRDefault="00471812" w:rsidP="00F0381D">
      <w:r w:rsidRPr="00471812">
        <w:t>† Denominator: all survey respondents (n=546 complete responses). ‡ Denominator: respondents reporting transportation refusals (i.e., those answering “Yes” in Part A).</w:t>
      </w:r>
    </w:p>
    <w:p w14:paraId="7A53240C" w14:textId="6BA67343" w:rsidR="00AA1ED8" w:rsidRPr="00AA1ED8" w:rsidRDefault="00AA1ED8" w:rsidP="00AA1ED8">
      <w:pPr>
        <w:pStyle w:val="Caption"/>
        <w:rPr>
          <w:b w:val="0"/>
          <w:i w:val="0"/>
          <w:iCs w:val="0"/>
          <w:szCs w:val="24"/>
        </w:rPr>
      </w:pPr>
      <w:r w:rsidRPr="00AA1ED8">
        <w:rPr>
          <w:b w:val="0"/>
          <w:i w:val="0"/>
          <w:iCs w:val="0"/>
          <w:szCs w:val="24"/>
        </w:rPr>
        <w:t xml:space="preserve">In educational settings, including schools, colleges, and universities, just over one fifth of respondents (21.5%) reported experiencing access difficulties at least three to four times per year. Nearly 16% indicated that such difficulties had an impact on their lives at least somewhat, while 13.4% reported avoiding new educational institutions due to fear of discrimination. In addition, almost 22% of respondents reported sometimes choosing not to bring their guide dog to educational environments. </w:t>
      </w:r>
    </w:p>
    <w:p w14:paraId="629AD7F1" w14:textId="77777777" w:rsidR="00AA1ED8" w:rsidRPr="00AA1ED8" w:rsidRDefault="00AA1ED8" w:rsidP="00AA1ED8">
      <w:pPr>
        <w:pStyle w:val="Caption"/>
        <w:rPr>
          <w:b w:val="0"/>
          <w:i w:val="0"/>
          <w:iCs w:val="0"/>
          <w:szCs w:val="24"/>
        </w:rPr>
      </w:pPr>
      <w:r w:rsidRPr="00AA1ED8">
        <w:rPr>
          <w:b w:val="0"/>
          <w:i w:val="0"/>
          <w:iCs w:val="0"/>
          <w:szCs w:val="24"/>
        </w:rPr>
        <w:t>Transportation access barriers were both more prevalent and more consequential. Overall, 51.1% of respondents reported having been refused service by a transportation provider in Canada while travelling with a guide dog. Where refusals occurred, taxis were identified most frequently (25.2%), followed by inter</w:t>
      </w:r>
      <w:r w:rsidRPr="00AA1ED8">
        <w:rPr>
          <w:rFonts w:ascii="Cambria Math" w:hAnsi="Cambria Math" w:cs="Cambria Math"/>
          <w:b w:val="0"/>
          <w:i w:val="0"/>
          <w:iCs w:val="0"/>
          <w:szCs w:val="24"/>
        </w:rPr>
        <w:t>‑</w:t>
      </w:r>
      <w:r w:rsidRPr="00AA1ED8">
        <w:rPr>
          <w:b w:val="0"/>
          <w:i w:val="0"/>
          <w:iCs w:val="0"/>
          <w:szCs w:val="24"/>
        </w:rPr>
        <w:t>provincial airlines and municipal bus lines (each 16.1%), and ride</w:t>
      </w:r>
      <w:r w:rsidRPr="00AA1ED8">
        <w:rPr>
          <w:rFonts w:ascii="Cambria Math" w:hAnsi="Cambria Math" w:cs="Cambria Math"/>
          <w:b w:val="0"/>
          <w:i w:val="0"/>
          <w:iCs w:val="0"/>
          <w:szCs w:val="24"/>
        </w:rPr>
        <w:t>‑</w:t>
      </w:r>
      <w:r w:rsidRPr="00AA1ED8">
        <w:rPr>
          <w:b w:val="0"/>
          <w:i w:val="0"/>
          <w:iCs w:val="0"/>
          <w:szCs w:val="24"/>
        </w:rPr>
        <w:t xml:space="preserve">share services (11.6%). The overwhelming majority of refusals (92.8%) were reported to have occurred within the past five years, underscoring that transportation access denials remain a contemporary and </w:t>
      </w:r>
      <w:r w:rsidRPr="00AA1ED8">
        <w:rPr>
          <w:b w:val="0"/>
          <w:i w:val="0"/>
          <w:iCs w:val="0"/>
          <w:szCs w:val="24"/>
        </w:rPr>
        <w:lastRenderedPageBreak/>
        <w:t>persistent issue. Reflecting its combined frequency and impact, transportation was consistently identified as the most significant access barrier reported in the survey.</w:t>
      </w:r>
    </w:p>
    <w:p w14:paraId="695B34DB" w14:textId="77777777" w:rsidR="00AA1ED8" w:rsidRPr="00AA1ED8" w:rsidRDefault="00AA1ED8" w:rsidP="00AA1ED8">
      <w:pPr>
        <w:pStyle w:val="Caption"/>
        <w:rPr>
          <w:b w:val="0"/>
          <w:i w:val="0"/>
          <w:iCs w:val="0"/>
          <w:szCs w:val="24"/>
        </w:rPr>
      </w:pPr>
      <w:r w:rsidRPr="00AA1ED8">
        <w:rPr>
          <w:b w:val="0"/>
          <w:i w:val="0"/>
          <w:iCs w:val="0"/>
          <w:szCs w:val="24"/>
        </w:rPr>
        <w:t>Beyond point</w:t>
      </w:r>
      <w:r w:rsidRPr="00AA1ED8">
        <w:rPr>
          <w:rFonts w:ascii="Cambria Math" w:hAnsi="Cambria Math" w:cs="Cambria Math"/>
          <w:b w:val="0"/>
          <w:i w:val="0"/>
          <w:iCs w:val="0"/>
          <w:szCs w:val="24"/>
        </w:rPr>
        <w:t>‑</w:t>
      </w:r>
      <w:r w:rsidRPr="00AA1ED8">
        <w:rPr>
          <w:b w:val="0"/>
          <w:i w:val="0"/>
          <w:iCs w:val="0"/>
          <w:szCs w:val="24"/>
        </w:rPr>
        <w:t>of</w:t>
      </w:r>
      <w:r w:rsidRPr="00AA1ED8">
        <w:rPr>
          <w:rFonts w:ascii="Cambria Math" w:hAnsi="Cambria Math" w:cs="Cambria Math"/>
          <w:b w:val="0"/>
          <w:i w:val="0"/>
          <w:iCs w:val="0"/>
          <w:szCs w:val="24"/>
        </w:rPr>
        <w:t>‑</w:t>
      </w:r>
      <w:r w:rsidRPr="00AA1ED8">
        <w:rPr>
          <w:b w:val="0"/>
          <w:i w:val="0"/>
          <w:iCs w:val="0"/>
          <w:szCs w:val="24"/>
        </w:rPr>
        <w:t>service refusals, transportation terminals themselves emerged as critical sites of access difficulty. More than one quarter of respondents (27.1%) reported having trouble accessing airports, ferry terminals, and rail or bus stations at least three to four times per year due to others</w:t>
      </w:r>
      <w:r w:rsidRPr="00AA1ED8">
        <w:rPr>
          <w:rFonts w:cs="Verdana"/>
          <w:b w:val="0"/>
          <w:i w:val="0"/>
          <w:iCs w:val="0"/>
          <w:szCs w:val="24"/>
        </w:rPr>
        <w:t>’</w:t>
      </w:r>
      <w:r w:rsidRPr="00AA1ED8">
        <w:rPr>
          <w:b w:val="0"/>
          <w:i w:val="0"/>
          <w:iCs w:val="0"/>
          <w:szCs w:val="24"/>
        </w:rPr>
        <w:t xml:space="preserve"> lack of understanding about guide dogs. These difficulties were associated with broader impacts and behavioural adaptations. Specifically, 28.0% indicated that terminal access challenges affected their lives at least somewhat, 18.4% reported avoiding unfamiliar terminals due to fear of discrimination, and 24.8% reported sometimes choosing not to bring their guide dog to transportation terminals. These findings suggest that transportation-related barriers extend beyond discrete refusals to shape anticipatory avoidance and reduced mobility.</w:t>
      </w:r>
    </w:p>
    <w:p w14:paraId="6B079C82" w14:textId="77777777" w:rsidR="00AA1ED8" w:rsidRPr="00AA1ED8" w:rsidRDefault="00AA1ED8" w:rsidP="00AA1ED8">
      <w:pPr>
        <w:pStyle w:val="Caption"/>
        <w:rPr>
          <w:b w:val="0"/>
          <w:i w:val="0"/>
          <w:iCs w:val="0"/>
          <w:szCs w:val="24"/>
        </w:rPr>
      </w:pPr>
      <w:r w:rsidRPr="00AA1ED8">
        <w:rPr>
          <w:b w:val="0"/>
          <w:i w:val="0"/>
          <w:iCs w:val="0"/>
          <w:szCs w:val="24"/>
        </w:rPr>
        <w:t xml:space="preserve">Descriptive subgroup analyses revealed variation in transportation access experiences by province or territory, age, and community size. Among respondents who reported transportation refusals, a substantially higher proportion resided in Manitoba (73.1%) compared with Ontario </w:t>
      </w:r>
      <w:r w:rsidRPr="00AA1ED8">
        <w:rPr>
          <w:b w:val="0"/>
          <w:i w:val="0"/>
          <w:iCs w:val="0"/>
          <w:szCs w:val="24"/>
        </w:rPr>
        <w:lastRenderedPageBreak/>
        <w:t>(39.8%). Difficulties accessing transportation terminals were most frequently reported among respondents aged 20–29 years, those living in Manitoba, and individuals residing in small towns. Conversely, 18% of respondents from Ontario reported that transportation access barriers had a direct impact on their daily lives, highlighting differences in both exposure and perceived consequence across jurisdictions.</w:t>
      </w:r>
    </w:p>
    <w:p w14:paraId="16DB8075" w14:textId="77777777" w:rsidR="00262CFB" w:rsidRDefault="00BB3445" w:rsidP="00262CFB">
      <w:pPr>
        <w:pStyle w:val="Caption"/>
        <w:rPr>
          <w:szCs w:val="24"/>
          <w:lang w:eastAsia="en-CA"/>
        </w:rPr>
      </w:pPr>
      <w:r>
        <w:rPr>
          <w:b w:val="0"/>
          <w:bCs/>
          <w:i w:val="0"/>
          <w:iCs w:val="0"/>
        </w:rPr>
        <w:t>Although refusals during air travel were reported less frequently in the survey data (5.2%), qualitative evidence from advisory committee members, focus groups, and co-design sessions identified air travel as a distinct area of concern. Participants emphasized challenges arising from shifting and inconsistently implemented airline policies, suggesting that formal refusal rates may not fully capture the broader burden associated with navigating air travel systems when accompanied by a guide dog.</w:t>
      </w:r>
      <w:bookmarkStart w:id="137" w:name="_Toc228387195"/>
    </w:p>
    <w:p w14:paraId="79F48A56" w14:textId="7E798475" w:rsidR="00C06BF6" w:rsidRPr="00262CFB" w:rsidRDefault="00C06BF6" w:rsidP="00262CFB">
      <w:pPr>
        <w:pStyle w:val="Caption"/>
        <w:rPr>
          <w:szCs w:val="24"/>
          <w:lang w:eastAsia="en-CA"/>
        </w:rPr>
      </w:pPr>
      <w:r w:rsidRPr="00C06BF6">
        <w:rPr>
          <w:i w:val="0"/>
          <w:iCs w:val="0"/>
        </w:rPr>
        <w:t xml:space="preserve">Table </w:t>
      </w:r>
      <w:r w:rsidRPr="00C06BF6">
        <w:rPr>
          <w:i w:val="0"/>
          <w:iCs w:val="0"/>
        </w:rPr>
        <w:fldChar w:fldCharType="begin"/>
      </w:r>
      <w:r w:rsidRPr="00C06BF6">
        <w:rPr>
          <w:i w:val="0"/>
          <w:iCs w:val="0"/>
        </w:rPr>
        <w:instrText xml:space="preserve"> SEQ Table \* ARABIC </w:instrText>
      </w:r>
      <w:r w:rsidRPr="00C06BF6">
        <w:rPr>
          <w:i w:val="0"/>
          <w:iCs w:val="0"/>
        </w:rPr>
        <w:fldChar w:fldCharType="separate"/>
      </w:r>
      <w:r w:rsidRPr="00C06BF6">
        <w:rPr>
          <w:i w:val="0"/>
          <w:iCs w:val="0"/>
          <w:noProof/>
        </w:rPr>
        <w:t>6</w:t>
      </w:r>
      <w:r w:rsidRPr="00C06BF6">
        <w:rPr>
          <w:i w:val="0"/>
          <w:iCs w:val="0"/>
        </w:rPr>
        <w:fldChar w:fldCharType="end"/>
      </w:r>
      <w:r>
        <w:t xml:space="preserve"> </w:t>
      </w:r>
      <w:r>
        <w:br/>
      </w:r>
      <w:r w:rsidRPr="00C06BF6">
        <w:rPr>
          <w:b w:val="0"/>
          <w:bCs/>
        </w:rPr>
        <w:t>Anticipated Access Denial Framework (AADF) Indicators: Exposure, Access Trouble, Anticipation, and Behavioural Adaptation in Public Settings (2022)</w:t>
      </w:r>
      <w:bookmarkEnd w:id="137"/>
    </w:p>
    <w:tbl>
      <w:tblPr>
        <w:tblW w:w="10170" w:type="dxa"/>
        <w:tblInd w:w="-72" w:type="dxa"/>
        <w:tblLayout w:type="fixed"/>
        <w:tblLook w:val="04A0" w:firstRow="1" w:lastRow="0" w:firstColumn="1" w:lastColumn="0" w:noHBand="0" w:noVBand="1"/>
      </w:tblPr>
      <w:tblGrid>
        <w:gridCol w:w="2250"/>
        <w:gridCol w:w="1260"/>
        <w:gridCol w:w="1710"/>
        <w:gridCol w:w="1440"/>
        <w:gridCol w:w="1710"/>
        <w:gridCol w:w="1800"/>
      </w:tblGrid>
      <w:tr w:rsidR="001E774C" w:rsidRPr="001E774C" w14:paraId="248D1AE4" w14:textId="77777777" w:rsidTr="00B40C9A">
        <w:trPr>
          <w:cantSplit/>
          <w:tblHeader/>
        </w:trPr>
        <w:tc>
          <w:tcPr>
            <w:tcW w:w="2250" w:type="dxa"/>
            <w:tcBorders>
              <w:top w:val="single" w:sz="4" w:space="0" w:color="000000"/>
              <w:left w:val="single" w:sz="4" w:space="0" w:color="000000"/>
              <w:bottom w:val="nil"/>
              <w:right w:val="nil"/>
            </w:tcBorders>
            <w:shd w:val="clear" w:color="000000" w:fill="000000"/>
            <w:noWrap/>
            <w:vAlign w:val="center"/>
            <w:hideMark/>
          </w:tcPr>
          <w:p w14:paraId="68E6696A" w14:textId="77777777" w:rsidR="001E774C" w:rsidRPr="00B40C9A" w:rsidRDefault="001E774C" w:rsidP="00B40C9A">
            <w:pPr>
              <w:ind w:firstLine="0"/>
              <w:rPr>
                <w:b/>
                <w:bCs/>
                <w:lang w:eastAsia="en-CA"/>
              </w:rPr>
            </w:pPr>
            <w:r w:rsidRPr="00B40C9A">
              <w:rPr>
                <w:b/>
                <w:bCs/>
                <w:lang w:eastAsia="en-CA"/>
              </w:rPr>
              <w:lastRenderedPageBreak/>
              <w:t>Public Access Location</w:t>
            </w:r>
          </w:p>
        </w:tc>
        <w:tc>
          <w:tcPr>
            <w:tcW w:w="1260" w:type="dxa"/>
            <w:tcBorders>
              <w:top w:val="single" w:sz="4" w:space="0" w:color="000000"/>
              <w:left w:val="nil"/>
              <w:bottom w:val="nil"/>
              <w:right w:val="nil"/>
            </w:tcBorders>
            <w:shd w:val="clear" w:color="000000" w:fill="000000"/>
            <w:noWrap/>
            <w:vAlign w:val="bottom"/>
            <w:hideMark/>
          </w:tcPr>
          <w:p w14:paraId="6A6701CA" w14:textId="77777777" w:rsidR="001E774C" w:rsidRPr="00B40C9A" w:rsidRDefault="001E774C" w:rsidP="00B40C9A">
            <w:pPr>
              <w:ind w:firstLine="0"/>
              <w:rPr>
                <w:b/>
                <w:bCs/>
                <w:lang w:eastAsia="en-CA"/>
              </w:rPr>
            </w:pPr>
            <w:r w:rsidRPr="00B40C9A">
              <w:rPr>
                <w:b/>
                <w:bCs/>
                <w:lang w:eastAsia="en-CA"/>
              </w:rPr>
              <w:t>Visited 3–4× per year (%)</w:t>
            </w:r>
          </w:p>
        </w:tc>
        <w:tc>
          <w:tcPr>
            <w:tcW w:w="1710" w:type="dxa"/>
            <w:tcBorders>
              <w:top w:val="single" w:sz="4" w:space="0" w:color="000000"/>
              <w:left w:val="nil"/>
              <w:bottom w:val="nil"/>
              <w:right w:val="nil"/>
            </w:tcBorders>
            <w:shd w:val="clear" w:color="000000" w:fill="000000"/>
            <w:noWrap/>
            <w:vAlign w:val="bottom"/>
            <w:hideMark/>
          </w:tcPr>
          <w:p w14:paraId="0CBC8D02" w14:textId="77777777" w:rsidR="001E774C" w:rsidRPr="00B40C9A" w:rsidRDefault="001E774C" w:rsidP="00B40C9A">
            <w:pPr>
              <w:ind w:firstLine="0"/>
              <w:rPr>
                <w:b/>
                <w:bCs/>
                <w:lang w:eastAsia="en-CA"/>
              </w:rPr>
            </w:pPr>
            <w:r w:rsidRPr="00B40C9A">
              <w:rPr>
                <w:b/>
                <w:bCs/>
                <w:lang w:eastAsia="en-CA"/>
              </w:rPr>
              <w:t>Experienced Access Trouble 3–4× per year (%)</w:t>
            </w:r>
          </w:p>
        </w:tc>
        <w:tc>
          <w:tcPr>
            <w:tcW w:w="1440" w:type="dxa"/>
            <w:tcBorders>
              <w:top w:val="single" w:sz="4" w:space="0" w:color="000000"/>
              <w:left w:val="nil"/>
              <w:bottom w:val="nil"/>
              <w:right w:val="nil"/>
            </w:tcBorders>
            <w:shd w:val="clear" w:color="000000" w:fill="000000"/>
            <w:noWrap/>
            <w:vAlign w:val="bottom"/>
            <w:hideMark/>
          </w:tcPr>
          <w:p w14:paraId="387A4B69" w14:textId="77777777" w:rsidR="001E774C" w:rsidRPr="00B40C9A" w:rsidRDefault="001E774C" w:rsidP="00B40C9A">
            <w:pPr>
              <w:ind w:firstLine="0"/>
              <w:rPr>
                <w:b/>
                <w:bCs/>
                <w:lang w:eastAsia="en-CA"/>
              </w:rPr>
            </w:pPr>
            <w:r w:rsidRPr="00B40C9A">
              <w:rPr>
                <w:b/>
                <w:bCs/>
                <w:lang w:eastAsia="en-CA"/>
              </w:rPr>
              <w:t>Impacted Daily Life (%)</w:t>
            </w:r>
          </w:p>
        </w:tc>
        <w:tc>
          <w:tcPr>
            <w:tcW w:w="1710" w:type="dxa"/>
            <w:tcBorders>
              <w:top w:val="single" w:sz="4" w:space="0" w:color="000000"/>
              <w:left w:val="nil"/>
              <w:bottom w:val="nil"/>
              <w:right w:val="nil"/>
            </w:tcBorders>
            <w:shd w:val="clear" w:color="000000" w:fill="000000"/>
            <w:noWrap/>
            <w:vAlign w:val="bottom"/>
            <w:hideMark/>
          </w:tcPr>
          <w:p w14:paraId="46ABD223" w14:textId="77777777" w:rsidR="001E774C" w:rsidRPr="00B40C9A" w:rsidRDefault="001E774C" w:rsidP="00B40C9A">
            <w:pPr>
              <w:ind w:firstLine="0"/>
              <w:rPr>
                <w:b/>
                <w:bCs/>
                <w:lang w:eastAsia="en-CA"/>
              </w:rPr>
            </w:pPr>
            <w:r w:rsidRPr="00B40C9A">
              <w:rPr>
                <w:b/>
                <w:bCs/>
                <w:lang w:eastAsia="en-CA"/>
              </w:rPr>
              <w:t>Avoid Environment Due to Fear of Discrimination (%)</w:t>
            </w:r>
          </w:p>
        </w:tc>
        <w:tc>
          <w:tcPr>
            <w:tcW w:w="1800" w:type="dxa"/>
            <w:tcBorders>
              <w:top w:val="single" w:sz="4" w:space="0" w:color="000000"/>
              <w:left w:val="nil"/>
              <w:bottom w:val="nil"/>
              <w:right w:val="single" w:sz="4" w:space="0" w:color="000000"/>
            </w:tcBorders>
            <w:shd w:val="clear" w:color="000000" w:fill="000000"/>
            <w:noWrap/>
            <w:vAlign w:val="bottom"/>
            <w:hideMark/>
          </w:tcPr>
          <w:p w14:paraId="48A95E22" w14:textId="77777777" w:rsidR="001E774C" w:rsidRPr="00B40C9A" w:rsidRDefault="001E774C" w:rsidP="00B40C9A">
            <w:pPr>
              <w:ind w:firstLine="0"/>
              <w:rPr>
                <w:b/>
                <w:bCs/>
                <w:lang w:eastAsia="en-CA"/>
              </w:rPr>
            </w:pPr>
            <w:r w:rsidRPr="00B40C9A">
              <w:rPr>
                <w:b/>
                <w:bCs/>
                <w:lang w:eastAsia="en-CA"/>
              </w:rPr>
              <w:t>Sometimes Do Not Bring Guide Dog (%)</w:t>
            </w:r>
          </w:p>
        </w:tc>
      </w:tr>
      <w:tr w:rsidR="001E774C" w:rsidRPr="001E774C" w14:paraId="51F5038C" w14:textId="77777777" w:rsidTr="00B40C9A">
        <w:trPr>
          <w:trHeight w:val="405"/>
        </w:trPr>
        <w:tc>
          <w:tcPr>
            <w:tcW w:w="2250" w:type="dxa"/>
            <w:tcBorders>
              <w:top w:val="single" w:sz="4" w:space="0" w:color="auto"/>
              <w:left w:val="single" w:sz="4" w:space="0" w:color="000000"/>
              <w:bottom w:val="nil"/>
              <w:right w:val="nil"/>
            </w:tcBorders>
            <w:shd w:val="clear" w:color="000000" w:fill="FFFF00"/>
            <w:vAlign w:val="center"/>
            <w:hideMark/>
          </w:tcPr>
          <w:p w14:paraId="544D5CD1" w14:textId="77777777" w:rsidR="001E774C" w:rsidRPr="00C82174" w:rsidRDefault="001E774C" w:rsidP="00B40C9A">
            <w:pPr>
              <w:ind w:hanging="25"/>
              <w:rPr>
                <w:b/>
                <w:bCs/>
                <w:lang w:eastAsia="en-CA"/>
              </w:rPr>
            </w:pPr>
            <w:r w:rsidRPr="00C82174">
              <w:rPr>
                <w:b/>
                <w:bCs/>
                <w:lang w:eastAsia="en-CA"/>
              </w:rPr>
              <w:t>Shopping centres</w:t>
            </w:r>
          </w:p>
        </w:tc>
        <w:tc>
          <w:tcPr>
            <w:tcW w:w="1260" w:type="dxa"/>
            <w:tcBorders>
              <w:top w:val="single" w:sz="4" w:space="0" w:color="000000"/>
              <w:left w:val="nil"/>
              <w:bottom w:val="nil"/>
              <w:right w:val="nil"/>
            </w:tcBorders>
            <w:shd w:val="clear" w:color="000000" w:fill="11B464"/>
            <w:vAlign w:val="center"/>
            <w:hideMark/>
          </w:tcPr>
          <w:p w14:paraId="36EE9C69" w14:textId="77777777" w:rsidR="001E774C" w:rsidRPr="00C82174" w:rsidRDefault="001E774C" w:rsidP="00B40C9A">
            <w:pPr>
              <w:ind w:hanging="25"/>
              <w:rPr>
                <w:b/>
                <w:bCs/>
                <w:lang w:eastAsia="en-CA"/>
              </w:rPr>
            </w:pPr>
            <w:r w:rsidRPr="00C82174">
              <w:rPr>
                <w:b/>
                <w:bCs/>
                <w:lang w:eastAsia="en-CA"/>
              </w:rPr>
              <w:t>86.4</w:t>
            </w:r>
          </w:p>
        </w:tc>
        <w:tc>
          <w:tcPr>
            <w:tcW w:w="1710" w:type="dxa"/>
            <w:tcBorders>
              <w:top w:val="single" w:sz="4" w:space="0" w:color="000000"/>
              <w:left w:val="nil"/>
              <w:bottom w:val="nil"/>
              <w:right w:val="nil"/>
            </w:tcBorders>
            <w:shd w:val="clear" w:color="000000" w:fill="FFC000"/>
            <w:vAlign w:val="center"/>
            <w:hideMark/>
          </w:tcPr>
          <w:p w14:paraId="7AF343DA" w14:textId="77777777" w:rsidR="001E774C" w:rsidRPr="00C82174" w:rsidRDefault="001E774C" w:rsidP="00F0381D">
            <w:pPr>
              <w:rPr>
                <w:b/>
                <w:bCs/>
                <w:lang w:eastAsia="en-CA"/>
              </w:rPr>
            </w:pPr>
            <w:r w:rsidRPr="00C82174">
              <w:rPr>
                <w:b/>
                <w:bCs/>
                <w:lang w:eastAsia="en-CA"/>
              </w:rPr>
              <w:t>36.6</w:t>
            </w:r>
          </w:p>
        </w:tc>
        <w:tc>
          <w:tcPr>
            <w:tcW w:w="1440" w:type="dxa"/>
            <w:tcBorders>
              <w:top w:val="single" w:sz="4" w:space="0" w:color="000000"/>
              <w:left w:val="nil"/>
              <w:bottom w:val="nil"/>
              <w:right w:val="nil"/>
            </w:tcBorders>
            <w:shd w:val="clear" w:color="000000" w:fill="FFC000"/>
            <w:vAlign w:val="center"/>
            <w:hideMark/>
          </w:tcPr>
          <w:p w14:paraId="617F0EFC" w14:textId="77777777" w:rsidR="001E774C" w:rsidRPr="00C82174" w:rsidRDefault="001E774C" w:rsidP="00F0381D">
            <w:pPr>
              <w:rPr>
                <w:b/>
                <w:bCs/>
                <w:lang w:eastAsia="en-CA"/>
              </w:rPr>
            </w:pPr>
            <w:r w:rsidRPr="00C82174">
              <w:rPr>
                <w:b/>
                <w:bCs/>
                <w:lang w:eastAsia="en-CA"/>
              </w:rPr>
              <w:t>30.3</w:t>
            </w:r>
          </w:p>
        </w:tc>
        <w:tc>
          <w:tcPr>
            <w:tcW w:w="1710" w:type="dxa"/>
            <w:tcBorders>
              <w:top w:val="single" w:sz="4" w:space="0" w:color="000000"/>
              <w:left w:val="nil"/>
              <w:bottom w:val="nil"/>
              <w:right w:val="nil"/>
            </w:tcBorders>
            <w:shd w:val="clear" w:color="000000" w:fill="FFC31D"/>
            <w:vAlign w:val="center"/>
            <w:hideMark/>
          </w:tcPr>
          <w:p w14:paraId="626EBF13" w14:textId="77777777" w:rsidR="001E774C" w:rsidRPr="00C82174" w:rsidRDefault="001E774C" w:rsidP="00F0381D">
            <w:pPr>
              <w:rPr>
                <w:b/>
                <w:bCs/>
                <w:lang w:eastAsia="en-CA"/>
              </w:rPr>
            </w:pPr>
            <w:r w:rsidRPr="00C82174">
              <w:rPr>
                <w:b/>
                <w:bCs/>
                <w:lang w:eastAsia="en-CA"/>
              </w:rPr>
              <w:t>21.3</w:t>
            </w:r>
          </w:p>
        </w:tc>
        <w:tc>
          <w:tcPr>
            <w:tcW w:w="1800" w:type="dxa"/>
            <w:tcBorders>
              <w:top w:val="single" w:sz="4" w:space="0" w:color="000000"/>
              <w:left w:val="nil"/>
              <w:bottom w:val="nil"/>
              <w:right w:val="single" w:sz="4" w:space="0" w:color="000000"/>
            </w:tcBorders>
            <w:shd w:val="clear" w:color="000000" w:fill="FFC000"/>
            <w:vAlign w:val="center"/>
            <w:hideMark/>
          </w:tcPr>
          <w:p w14:paraId="4DA51A76" w14:textId="77777777" w:rsidR="001E774C" w:rsidRPr="00C82174" w:rsidRDefault="001E774C" w:rsidP="00F0381D">
            <w:pPr>
              <w:rPr>
                <w:b/>
                <w:bCs/>
                <w:lang w:eastAsia="en-CA"/>
              </w:rPr>
            </w:pPr>
            <w:r w:rsidRPr="00C82174">
              <w:rPr>
                <w:b/>
                <w:bCs/>
                <w:lang w:eastAsia="en-CA"/>
              </w:rPr>
              <w:t>35.7</w:t>
            </w:r>
          </w:p>
        </w:tc>
      </w:tr>
      <w:tr w:rsidR="001E774C" w:rsidRPr="001E774C" w14:paraId="11FF587B"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3F95F42A" w14:textId="77777777" w:rsidR="001E774C" w:rsidRPr="00C82174" w:rsidRDefault="001E774C" w:rsidP="00B40C9A">
            <w:pPr>
              <w:ind w:hanging="25"/>
              <w:rPr>
                <w:b/>
                <w:bCs/>
                <w:lang w:eastAsia="en-CA"/>
              </w:rPr>
            </w:pPr>
            <w:r w:rsidRPr="00C82174">
              <w:rPr>
                <w:b/>
                <w:bCs/>
                <w:lang w:eastAsia="en-CA"/>
              </w:rPr>
              <w:t>Grocery stores</w:t>
            </w:r>
          </w:p>
        </w:tc>
        <w:tc>
          <w:tcPr>
            <w:tcW w:w="1260" w:type="dxa"/>
            <w:tcBorders>
              <w:top w:val="single" w:sz="4" w:space="0" w:color="000000"/>
              <w:left w:val="nil"/>
              <w:bottom w:val="nil"/>
              <w:right w:val="nil"/>
            </w:tcBorders>
            <w:shd w:val="clear" w:color="000000" w:fill="00B050"/>
            <w:vAlign w:val="center"/>
            <w:hideMark/>
          </w:tcPr>
          <w:p w14:paraId="76C4D515" w14:textId="77777777" w:rsidR="001E774C" w:rsidRPr="00C82174" w:rsidRDefault="001E774C" w:rsidP="00B40C9A">
            <w:pPr>
              <w:ind w:hanging="25"/>
              <w:rPr>
                <w:b/>
                <w:bCs/>
                <w:lang w:eastAsia="en-CA"/>
              </w:rPr>
            </w:pPr>
            <w:r w:rsidRPr="00C82174">
              <w:rPr>
                <w:b/>
                <w:bCs/>
                <w:lang w:eastAsia="en-CA"/>
              </w:rPr>
              <w:t>90.2</w:t>
            </w:r>
          </w:p>
        </w:tc>
        <w:tc>
          <w:tcPr>
            <w:tcW w:w="1710" w:type="dxa"/>
            <w:tcBorders>
              <w:top w:val="single" w:sz="4" w:space="0" w:color="000000"/>
              <w:left w:val="nil"/>
              <w:bottom w:val="nil"/>
              <w:right w:val="nil"/>
            </w:tcBorders>
            <w:shd w:val="clear" w:color="000000" w:fill="FFC000"/>
            <w:vAlign w:val="center"/>
            <w:hideMark/>
          </w:tcPr>
          <w:p w14:paraId="782F810F" w14:textId="77777777" w:rsidR="001E774C" w:rsidRPr="00C82174" w:rsidRDefault="001E774C" w:rsidP="00F0381D">
            <w:pPr>
              <w:rPr>
                <w:b/>
                <w:bCs/>
                <w:lang w:eastAsia="en-CA"/>
              </w:rPr>
            </w:pPr>
            <w:r w:rsidRPr="00C82174">
              <w:rPr>
                <w:b/>
                <w:bCs/>
                <w:lang w:eastAsia="en-CA"/>
              </w:rPr>
              <w:t>32.1</w:t>
            </w:r>
          </w:p>
        </w:tc>
        <w:tc>
          <w:tcPr>
            <w:tcW w:w="1440" w:type="dxa"/>
            <w:tcBorders>
              <w:top w:val="single" w:sz="4" w:space="0" w:color="000000"/>
              <w:left w:val="nil"/>
              <w:bottom w:val="nil"/>
              <w:right w:val="nil"/>
            </w:tcBorders>
            <w:shd w:val="clear" w:color="000000" w:fill="FFC000"/>
            <w:vAlign w:val="center"/>
            <w:hideMark/>
          </w:tcPr>
          <w:p w14:paraId="51771528" w14:textId="77777777" w:rsidR="001E774C" w:rsidRPr="00C82174" w:rsidRDefault="001E774C" w:rsidP="00F0381D">
            <w:pPr>
              <w:rPr>
                <w:b/>
                <w:bCs/>
                <w:lang w:eastAsia="en-CA"/>
              </w:rPr>
            </w:pPr>
            <w:r w:rsidRPr="00C82174">
              <w:rPr>
                <w:b/>
                <w:bCs/>
                <w:lang w:eastAsia="en-CA"/>
              </w:rPr>
              <w:t>23</w:t>
            </w:r>
          </w:p>
        </w:tc>
        <w:tc>
          <w:tcPr>
            <w:tcW w:w="1710" w:type="dxa"/>
            <w:tcBorders>
              <w:top w:val="single" w:sz="4" w:space="0" w:color="000000"/>
              <w:left w:val="nil"/>
              <w:bottom w:val="nil"/>
              <w:right w:val="nil"/>
            </w:tcBorders>
            <w:shd w:val="clear" w:color="000000" w:fill="FFC42D"/>
            <w:vAlign w:val="center"/>
            <w:hideMark/>
          </w:tcPr>
          <w:p w14:paraId="60739158" w14:textId="77777777" w:rsidR="001E774C" w:rsidRPr="00C82174" w:rsidRDefault="001E774C" w:rsidP="00F0381D">
            <w:pPr>
              <w:rPr>
                <w:b/>
                <w:bCs/>
                <w:lang w:eastAsia="en-CA"/>
              </w:rPr>
            </w:pPr>
            <w:r w:rsidRPr="00C82174">
              <w:rPr>
                <w:b/>
                <w:bCs/>
                <w:lang w:eastAsia="en-CA"/>
              </w:rPr>
              <w:t>20.9</w:t>
            </w:r>
          </w:p>
        </w:tc>
        <w:tc>
          <w:tcPr>
            <w:tcW w:w="1800" w:type="dxa"/>
            <w:tcBorders>
              <w:top w:val="single" w:sz="4" w:space="0" w:color="000000"/>
              <w:left w:val="nil"/>
              <w:bottom w:val="nil"/>
              <w:right w:val="single" w:sz="4" w:space="0" w:color="000000"/>
            </w:tcBorders>
            <w:shd w:val="clear" w:color="000000" w:fill="FFC000"/>
            <w:vAlign w:val="center"/>
            <w:hideMark/>
          </w:tcPr>
          <w:p w14:paraId="4C9BD9CD" w14:textId="77777777" w:rsidR="001E774C" w:rsidRPr="00C82174" w:rsidRDefault="001E774C" w:rsidP="00F0381D">
            <w:pPr>
              <w:rPr>
                <w:b/>
                <w:bCs/>
                <w:lang w:eastAsia="en-CA"/>
              </w:rPr>
            </w:pPr>
            <w:r w:rsidRPr="00C82174">
              <w:rPr>
                <w:b/>
                <w:bCs/>
                <w:lang w:eastAsia="en-CA"/>
              </w:rPr>
              <w:t>33</w:t>
            </w:r>
          </w:p>
        </w:tc>
      </w:tr>
      <w:tr w:rsidR="001E774C" w:rsidRPr="001E774C" w14:paraId="0EA59832"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0BF21358" w14:textId="77777777" w:rsidR="001E774C" w:rsidRPr="00C82174" w:rsidRDefault="001E774C" w:rsidP="00B40C9A">
            <w:pPr>
              <w:ind w:hanging="25"/>
              <w:rPr>
                <w:b/>
                <w:bCs/>
                <w:lang w:eastAsia="en-CA"/>
              </w:rPr>
            </w:pPr>
            <w:r w:rsidRPr="00C82174">
              <w:rPr>
                <w:b/>
                <w:bCs/>
                <w:lang w:eastAsia="en-CA"/>
              </w:rPr>
              <w:t>Restaurants</w:t>
            </w:r>
          </w:p>
        </w:tc>
        <w:tc>
          <w:tcPr>
            <w:tcW w:w="1260" w:type="dxa"/>
            <w:tcBorders>
              <w:top w:val="single" w:sz="4" w:space="0" w:color="000000"/>
              <w:left w:val="nil"/>
              <w:bottom w:val="nil"/>
              <w:right w:val="nil"/>
            </w:tcBorders>
            <w:shd w:val="clear" w:color="000000" w:fill="5AC4BB"/>
            <w:vAlign w:val="center"/>
            <w:hideMark/>
          </w:tcPr>
          <w:p w14:paraId="60DCD455" w14:textId="77777777" w:rsidR="001E774C" w:rsidRPr="00C82174" w:rsidRDefault="001E774C" w:rsidP="00B40C9A">
            <w:pPr>
              <w:ind w:hanging="25"/>
              <w:rPr>
                <w:b/>
                <w:bCs/>
                <w:lang w:eastAsia="en-CA"/>
              </w:rPr>
            </w:pPr>
            <w:r w:rsidRPr="00C82174">
              <w:rPr>
                <w:b/>
                <w:bCs/>
                <w:lang w:eastAsia="en-CA"/>
              </w:rPr>
              <w:t>70</w:t>
            </w:r>
          </w:p>
        </w:tc>
        <w:tc>
          <w:tcPr>
            <w:tcW w:w="1710" w:type="dxa"/>
            <w:tcBorders>
              <w:top w:val="single" w:sz="4" w:space="0" w:color="000000"/>
              <w:left w:val="nil"/>
              <w:bottom w:val="nil"/>
              <w:right w:val="nil"/>
            </w:tcBorders>
            <w:shd w:val="clear" w:color="000000" w:fill="FFC000"/>
            <w:vAlign w:val="center"/>
            <w:hideMark/>
          </w:tcPr>
          <w:p w14:paraId="12CAB805" w14:textId="77777777" w:rsidR="001E774C" w:rsidRPr="00C82174" w:rsidRDefault="001E774C" w:rsidP="00F0381D">
            <w:pPr>
              <w:rPr>
                <w:b/>
                <w:bCs/>
                <w:lang w:eastAsia="en-CA"/>
              </w:rPr>
            </w:pPr>
            <w:r w:rsidRPr="00C82174">
              <w:rPr>
                <w:b/>
                <w:bCs/>
                <w:lang w:eastAsia="en-CA"/>
              </w:rPr>
              <w:t>32.8</w:t>
            </w:r>
          </w:p>
        </w:tc>
        <w:tc>
          <w:tcPr>
            <w:tcW w:w="1440" w:type="dxa"/>
            <w:tcBorders>
              <w:top w:val="single" w:sz="4" w:space="0" w:color="000000"/>
              <w:left w:val="nil"/>
              <w:bottom w:val="nil"/>
              <w:right w:val="nil"/>
            </w:tcBorders>
            <w:shd w:val="clear" w:color="000000" w:fill="FFC000"/>
            <w:vAlign w:val="center"/>
            <w:hideMark/>
          </w:tcPr>
          <w:p w14:paraId="060243F4" w14:textId="77777777" w:rsidR="001E774C" w:rsidRPr="00C82174" w:rsidRDefault="001E774C" w:rsidP="00F0381D">
            <w:pPr>
              <w:rPr>
                <w:b/>
                <w:bCs/>
                <w:lang w:eastAsia="en-CA"/>
              </w:rPr>
            </w:pPr>
            <w:r w:rsidRPr="00C82174">
              <w:rPr>
                <w:b/>
                <w:bCs/>
                <w:lang w:eastAsia="en-CA"/>
              </w:rPr>
              <w:t>25.6</w:t>
            </w:r>
          </w:p>
        </w:tc>
        <w:tc>
          <w:tcPr>
            <w:tcW w:w="1710" w:type="dxa"/>
            <w:tcBorders>
              <w:top w:val="single" w:sz="4" w:space="0" w:color="000000"/>
              <w:left w:val="nil"/>
              <w:bottom w:val="nil"/>
              <w:right w:val="nil"/>
            </w:tcBorders>
            <w:shd w:val="clear" w:color="000000" w:fill="FFC000"/>
            <w:vAlign w:val="center"/>
            <w:hideMark/>
          </w:tcPr>
          <w:p w14:paraId="1FF59A98" w14:textId="77777777" w:rsidR="001E774C" w:rsidRPr="00C82174" w:rsidRDefault="001E774C" w:rsidP="00F0381D">
            <w:pPr>
              <w:rPr>
                <w:b/>
                <w:bCs/>
                <w:lang w:eastAsia="en-CA"/>
              </w:rPr>
            </w:pPr>
            <w:r w:rsidRPr="00C82174">
              <w:rPr>
                <w:b/>
                <w:bCs/>
                <w:lang w:eastAsia="en-CA"/>
              </w:rPr>
              <w:t>24.9</w:t>
            </w:r>
          </w:p>
        </w:tc>
        <w:tc>
          <w:tcPr>
            <w:tcW w:w="1800" w:type="dxa"/>
            <w:tcBorders>
              <w:top w:val="single" w:sz="4" w:space="0" w:color="000000"/>
              <w:left w:val="nil"/>
              <w:bottom w:val="nil"/>
              <w:right w:val="single" w:sz="4" w:space="0" w:color="000000"/>
            </w:tcBorders>
            <w:shd w:val="clear" w:color="000000" w:fill="FFC000"/>
            <w:vAlign w:val="center"/>
            <w:hideMark/>
          </w:tcPr>
          <w:p w14:paraId="2C38807A" w14:textId="77777777" w:rsidR="001E774C" w:rsidRPr="00C82174" w:rsidRDefault="001E774C" w:rsidP="00F0381D">
            <w:pPr>
              <w:rPr>
                <w:b/>
                <w:bCs/>
                <w:lang w:eastAsia="en-CA"/>
              </w:rPr>
            </w:pPr>
            <w:r w:rsidRPr="00C82174">
              <w:rPr>
                <w:b/>
                <w:bCs/>
                <w:lang w:eastAsia="en-CA"/>
              </w:rPr>
              <w:t>31.4</w:t>
            </w:r>
          </w:p>
        </w:tc>
      </w:tr>
      <w:tr w:rsidR="001E774C" w:rsidRPr="001E774C" w14:paraId="4570793F"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01CC81C5" w14:textId="77777777" w:rsidR="001E774C" w:rsidRPr="00C82174" w:rsidRDefault="001E774C" w:rsidP="00B40C9A">
            <w:pPr>
              <w:ind w:hanging="25"/>
              <w:rPr>
                <w:b/>
                <w:bCs/>
                <w:lang w:eastAsia="en-CA"/>
              </w:rPr>
            </w:pPr>
            <w:r w:rsidRPr="00C82174">
              <w:rPr>
                <w:b/>
                <w:bCs/>
                <w:lang w:eastAsia="en-CA"/>
              </w:rPr>
              <w:t>Transportation terminals</w:t>
            </w:r>
          </w:p>
        </w:tc>
        <w:tc>
          <w:tcPr>
            <w:tcW w:w="1260" w:type="dxa"/>
            <w:tcBorders>
              <w:top w:val="single" w:sz="4" w:space="0" w:color="000000"/>
              <w:left w:val="nil"/>
              <w:bottom w:val="nil"/>
              <w:right w:val="nil"/>
            </w:tcBorders>
            <w:shd w:val="clear" w:color="000000" w:fill="41BE9D"/>
            <w:vAlign w:val="center"/>
            <w:hideMark/>
          </w:tcPr>
          <w:p w14:paraId="1D9B209C" w14:textId="77777777" w:rsidR="001E774C" w:rsidRPr="00C82174" w:rsidRDefault="001E774C" w:rsidP="00B40C9A">
            <w:pPr>
              <w:ind w:hanging="25"/>
              <w:rPr>
                <w:b/>
                <w:bCs/>
                <w:lang w:eastAsia="en-CA"/>
              </w:rPr>
            </w:pPr>
            <w:r w:rsidRPr="00C82174">
              <w:rPr>
                <w:b/>
                <w:bCs/>
                <w:lang w:eastAsia="en-CA"/>
              </w:rPr>
              <w:t>75.7</w:t>
            </w:r>
          </w:p>
        </w:tc>
        <w:tc>
          <w:tcPr>
            <w:tcW w:w="1710" w:type="dxa"/>
            <w:tcBorders>
              <w:top w:val="single" w:sz="4" w:space="0" w:color="000000"/>
              <w:left w:val="nil"/>
              <w:bottom w:val="nil"/>
              <w:right w:val="nil"/>
            </w:tcBorders>
            <w:shd w:val="clear" w:color="000000" w:fill="FFC000"/>
            <w:vAlign w:val="center"/>
            <w:hideMark/>
          </w:tcPr>
          <w:p w14:paraId="633EC36F" w14:textId="77777777" w:rsidR="001E774C" w:rsidRPr="00C82174" w:rsidRDefault="001E774C" w:rsidP="00F0381D">
            <w:pPr>
              <w:rPr>
                <w:b/>
                <w:bCs/>
                <w:lang w:eastAsia="en-CA"/>
              </w:rPr>
            </w:pPr>
            <w:r w:rsidRPr="00C82174">
              <w:rPr>
                <w:b/>
                <w:bCs/>
                <w:lang w:eastAsia="en-CA"/>
              </w:rPr>
              <w:t>27.1</w:t>
            </w:r>
          </w:p>
        </w:tc>
        <w:tc>
          <w:tcPr>
            <w:tcW w:w="1440" w:type="dxa"/>
            <w:tcBorders>
              <w:top w:val="single" w:sz="4" w:space="0" w:color="000000"/>
              <w:left w:val="nil"/>
              <w:bottom w:val="nil"/>
              <w:right w:val="nil"/>
            </w:tcBorders>
            <w:shd w:val="clear" w:color="000000" w:fill="FFC000"/>
            <w:vAlign w:val="center"/>
            <w:hideMark/>
          </w:tcPr>
          <w:p w14:paraId="79DC6418" w14:textId="77777777" w:rsidR="001E774C" w:rsidRPr="00C82174" w:rsidRDefault="001E774C" w:rsidP="00F0381D">
            <w:pPr>
              <w:rPr>
                <w:b/>
                <w:bCs/>
                <w:lang w:eastAsia="en-CA"/>
              </w:rPr>
            </w:pPr>
            <w:r w:rsidRPr="00C82174">
              <w:rPr>
                <w:b/>
                <w:bCs/>
                <w:lang w:eastAsia="en-CA"/>
              </w:rPr>
              <w:t>28.4</w:t>
            </w:r>
          </w:p>
        </w:tc>
        <w:tc>
          <w:tcPr>
            <w:tcW w:w="1710" w:type="dxa"/>
            <w:tcBorders>
              <w:top w:val="single" w:sz="4" w:space="0" w:color="000000"/>
              <w:left w:val="nil"/>
              <w:bottom w:val="nil"/>
              <w:right w:val="nil"/>
            </w:tcBorders>
            <w:shd w:val="clear" w:color="000000" w:fill="FFCC8F"/>
            <w:vAlign w:val="center"/>
            <w:hideMark/>
          </w:tcPr>
          <w:p w14:paraId="16F8E6B4" w14:textId="77777777" w:rsidR="001E774C" w:rsidRPr="00C82174" w:rsidRDefault="001E774C" w:rsidP="00F0381D">
            <w:pPr>
              <w:rPr>
                <w:b/>
                <w:bCs/>
                <w:lang w:eastAsia="en-CA"/>
              </w:rPr>
            </w:pPr>
            <w:r w:rsidRPr="00C82174">
              <w:rPr>
                <w:b/>
                <w:bCs/>
                <w:lang w:eastAsia="en-CA"/>
              </w:rPr>
              <w:t>18.4</w:t>
            </w:r>
          </w:p>
        </w:tc>
        <w:tc>
          <w:tcPr>
            <w:tcW w:w="1800" w:type="dxa"/>
            <w:tcBorders>
              <w:top w:val="single" w:sz="4" w:space="0" w:color="000000"/>
              <w:left w:val="nil"/>
              <w:bottom w:val="nil"/>
              <w:right w:val="single" w:sz="4" w:space="0" w:color="000000"/>
            </w:tcBorders>
            <w:shd w:val="clear" w:color="000000" w:fill="FFC000"/>
            <w:vAlign w:val="center"/>
            <w:hideMark/>
          </w:tcPr>
          <w:p w14:paraId="65B75623" w14:textId="77777777" w:rsidR="001E774C" w:rsidRPr="00C82174" w:rsidRDefault="001E774C" w:rsidP="00F0381D">
            <w:pPr>
              <w:rPr>
                <w:b/>
                <w:bCs/>
                <w:lang w:eastAsia="en-CA"/>
              </w:rPr>
            </w:pPr>
            <w:r w:rsidRPr="00C82174">
              <w:rPr>
                <w:b/>
                <w:bCs/>
                <w:lang w:eastAsia="en-CA"/>
              </w:rPr>
              <w:t>24.8</w:t>
            </w:r>
          </w:p>
        </w:tc>
      </w:tr>
      <w:tr w:rsidR="001E774C" w:rsidRPr="001E774C" w14:paraId="59C3AC62"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06E83B62" w14:textId="77777777" w:rsidR="001E774C" w:rsidRPr="00C82174" w:rsidRDefault="001E774C" w:rsidP="00B40C9A">
            <w:pPr>
              <w:ind w:hanging="25"/>
              <w:rPr>
                <w:b/>
                <w:bCs/>
                <w:lang w:eastAsia="en-CA"/>
              </w:rPr>
            </w:pPr>
            <w:r w:rsidRPr="00C82174">
              <w:rPr>
                <w:b/>
                <w:bCs/>
                <w:lang w:eastAsia="en-CA"/>
              </w:rPr>
              <w:t>Healthcare facilities</w:t>
            </w:r>
          </w:p>
        </w:tc>
        <w:tc>
          <w:tcPr>
            <w:tcW w:w="1260" w:type="dxa"/>
            <w:tcBorders>
              <w:top w:val="single" w:sz="4" w:space="0" w:color="000000"/>
              <w:left w:val="nil"/>
              <w:bottom w:val="nil"/>
              <w:right w:val="nil"/>
            </w:tcBorders>
            <w:shd w:val="clear" w:color="000000" w:fill="2CBA84"/>
            <w:vAlign w:val="center"/>
            <w:hideMark/>
          </w:tcPr>
          <w:p w14:paraId="163ADBBF" w14:textId="77777777" w:rsidR="001E774C" w:rsidRPr="00C82174" w:rsidRDefault="001E774C" w:rsidP="00B40C9A">
            <w:pPr>
              <w:ind w:hanging="25"/>
              <w:rPr>
                <w:b/>
                <w:bCs/>
                <w:lang w:eastAsia="en-CA"/>
              </w:rPr>
            </w:pPr>
            <w:r w:rsidRPr="00C82174">
              <w:rPr>
                <w:b/>
                <w:bCs/>
                <w:lang w:eastAsia="en-CA"/>
              </w:rPr>
              <w:t>80.5</w:t>
            </w:r>
          </w:p>
        </w:tc>
        <w:tc>
          <w:tcPr>
            <w:tcW w:w="1710" w:type="dxa"/>
            <w:tcBorders>
              <w:top w:val="single" w:sz="4" w:space="0" w:color="000000"/>
              <w:left w:val="nil"/>
              <w:bottom w:val="nil"/>
              <w:right w:val="nil"/>
            </w:tcBorders>
            <w:shd w:val="clear" w:color="000000" w:fill="FFC000"/>
            <w:vAlign w:val="center"/>
            <w:hideMark/>
          </w:tcPr>
          <w:p w14:paraId="6B0CEA41" w14:textId="77777777" w:rsidR="001E774C" w:rsidRPr="00C82174" w:rsidRDefault="001E774C" w:rsidP="00F0381D">
            <w:pPr>
              <w:rPr>
                <w:b/>
                <w:bCs/>
                <w:lang w:eastAsia="en-CA"/>
              </w:rPr>
            </w:pPr>
            <w:r w:rsidRPr="00C82174">
              <w:rPr>
                <w:b/>
                <w:bCs/>
                <w:lang w:eastAsia="en-CA"/>
              </w:rPr>
              <w:t>23.5</w:t>
            </w:r>
          </w:p>
        </w:tc>
        <w:tc>
          <w:tcPr>
            <w:tcW w:w="1440" w:type="dxa"/>
            <w:tcBorders>
              <w:top w:val="single" w:sz="4" w:space="0" w:color="000000"/>
              <w:left w:val="nil"/>
              <w:bottom w:val="nil"/>
              <w:right w:val="nil"/>
            </w:tcBorders>
            <w:shd w:val="clear" w:color="000000" w:fill="FFC648"/>
            <w:vAlign w:val="center"/>
            <w:hideMark/>
          </w:tcPr>
          <w:p w14:paraId="69839E78" w14:textId="77777777" w:rsidR="001E774C" w:rsidRPr="00C82174" w:rsidRDefault="001E774C" w:rsidP="00F0381D">
            <w:pPr>
              <w:rPr>
                <w:b/>
                <w:bCs/>
                <w:lang w:eastAsia="en-CA"/>
              </w:rPr>
            </w:pPr>
            <w:r w:rsidRPr="00C82174">
              <w:rPr>
                <w:b/>
                <w:bCs/>
                <w:lang w:eastAsia="en-CA"/>
              </w:rPr>
              <w:t>20.2</w:t>
            </w:r>
          </w:p>
        </w:tc>
        <w:tc>
          <w:tcPr>
            <w:tcW w:w="1710" w:type="dxa"/>
            <w:tcBorders>
              <w:top w:val="single" w:sz="4" w:space="0" w:color="000000"/>
              <w:left w:val="nil"/>
              <w:bottom w:val="nil"/>
              <w:right w:val="nil"/>
            </w:tcBorders>
            <w:shd w:val="clear" w:color="000000" w:fill="FFD6AD"/>
            <w:vAlign w:val="center"/>
            <w:hideMark/>
          </w:tcPr>
          <w:p w14:paraId="7963604B" w14:textId="77777777" w:rsidR="001E774C" w:rsidRPr="00C82174" w:rsidRDefault="001E774C" w:rsidP="00F0381D">
            <w:pPr>
              <w:rPr>
                <w:b/>
                <w:bCs/>
                <w:lang w:eastAsia="en-CA"/>
              </w:rPr>
            </w:pPr>
            <w:r w:rsidRPr="00C82174">
              <w:rPr>
                <w:b/>
                <w:bCs/>
                <w:lang w:eastAsia="en-CA"/>
              </w:rPr>
              <w:t>16.9</w:t>
            </w:r>
          </w:p>
        </w:tc>
        <w:tc>
          <w:tcPr>
            <w:tcW w:w="1800" w:type="dxa"/>
            <w:tcBorders>
              <w:top w:val="single" w:sz="4" w:space="0" w:color="000000"/>
              <w:left w:val="nil"/>
              <w:bottom w:val="nil"/>
              <w:right w:val="single" w:sz="4" w:space="0" w:color="000000"/>
            </w:tcBorders>
            <w:shd w:val="clear" w:color="000000" w:fill="FFC000"/>
            <w:vAlign w:val="center"/>
            <w:hideMark/>
          </w:tcPr>
          <w:p w14:paraId="7472235D" w14:textId="77777777" w:rsidR="001E774C" w:rsidRPr="00C82174" w:rsidRDefault="001E774C" w:rsidP="00F0381D">
            <w:pPr>
              <w:rPr>
                <w:b/>
                <w:bCs/>
                <w:lang w:eastAsia="en-CA"/>
              </w:rPr>
            </w:pPr>
            <w:r w:rsidRPr="00C82174">
              <w:rPr>
                <w:b/>
                <w:bCs/>
                <w:lang w:eastAsia="en-CA"/>
              </w:rPr>
              <w:t>30.5</w:t>
            </w:r>
          </w:p>
        </w:tc>
      </w:tr>
      <w:tr w:rsidR="001E774C" w:rsidRPr="001E774C" w14:paraId="328255C7"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42B90058" w14:textId="77777777" w:rsidR="001E774C" w:rsidRPr="00C82174" w:rsidRDefault="001E774C" w:rsidP="00B40C9A">
            <w:pPr>
              <w:ind w:hanging="25"/>
              <w:rPr>
                <w:b/>
                <w:bCs/>
                <w:lang w:eastAsia="en-CA"/>
              </w:rPr>
            </w:pPr>
            <w:r w:rsidRPr="00C82174">
              <w:rPr>
                <w:b/>
                <w:bCs/>
                <w:lang w:eastAsia="en-CA"/>
              </w:rPr>
              <w:t>Hotels</w:t>
            </w:r>
          </w:p>
        </w:tc>
        <w:tc>
          <w:tcPr>
            <w:tcW w:w="1260" w:type="dxa"/>
            <w:tcBorders>
              <w:top w:val="single" w:sz="4" w:space="0" w:color="000000"/>
              <w:left w:val="nil"/>
              <w:bottom w:val="nil"/>
              <w:right w:val="nil"/>
            </w:tcBorders>
            <w:shd w:val="clear" w:color="000000" w:fill="B0DCEE"/>
            <w:vAlign w:val="center"/>
            <w:hideMark/>
          </w:tcPr>
          <w:p w14:paraId="4E4F1A84" w14:textId="77777777" w:rsidR="001E774C" w:rsidRPr="00C82174" w:rsidRDefault="001E774C" w:rsidP="00B40C9A">
            <w:pPr>
              <w:ind w:hanging="25"/>
              <w:rPr>
                <w:b/>
                <w:bCs/>
                <w:lang w:eastAsia="en-CA"/>
              </w:rPr>
            </w:pPr>
            <w:r w:rsidRPr="00C82174">
              <w:rPr>
                <w:b/>
                <w:bCs/>
                <w:lang w:eastAsia="en-CA"/>
              </w:rPr>
              <w:t>52.1</w:t>
            </w:r>
          </w:p>
        </w:tc>
        <w:tc>
          <w:tcPr>
            <w:tcW w:w="1710" w:type="dxa"/>
            <w:tcBorders>
              <w:top w:val="single" w:sz="4" w:space="0" w:color="000000"/>
              <w:left w:val="nil"/>
              <w:bottom w:val="nil"/>
              <w:right w:val="nil"/>
            </w:tcBorders>
            <w:shd w:val="clear" w:color="000000" w:fill="FFC000"/>
            <w:vAlign w:val="center"/>
            <w:hideMark/>
          </w:tcPr>
          <w:p w14:paraId="4BB91F08" w14:textId="77777777" w:rsidR="001E774C" w:rsidRPr="00C82174" w:rsidRDefault="001E774C" w:rsidP="00F0381D">
            <w:pPr>
              <w:rPr>
                <w:b/>
                <w:bCs/>
                <w:lang w:eastAsia="en-CA"/>
              </w:rPr>
            </w:pPr>
            <w:r w:rsidRPr="00C82174">
              <w:rPr>
                <w:b/>
                <w:bCs/>
                <w:lang w:eastAsia="en-CA"/>
              </w:rPr>
              <w:t>22.7</w:t>
            </w:r>
          </w:p>
        </w:tc>
        <w:tc>
          <w:tcPr>
            <w:tcW w:w="1440" w:type="dxa"/>
            <w:tcBorders>
              <w:top w:val="single" w:sz="4" w:space="0" w:color="000000"/>
              <w:left w:val="nil"/>
              <w:bottom w:val="nil"/>
              <w:right w:val="nil"/>
            </w:tcBorders>
            <w:shd w:val="clear" w:color="000000" w:fill="FFC000"/>
            <w:vAlign w:val="center"/>
            <w:hideMark/>
          </w:tcPr>
          <w:p w14:paraId="17E85106" w14:textId="77777777" w:rsidR="001E774C" w:rsidRPr="00C82174" w:rsidRDefault="001E774C" w:rsidP="00F0381D">
            <w:pPr>
              <w:rPr>
                <w:b/>
                <w:bCs/>
                <w:lang w:eastAsia="en-CA"/>
              </w:rPr>
            </w:pPr>
            <w:r w:rsidRPr="00C82174">
              <w:rPr>
                <w:b/>
                <w:bCs/>
                <w:lang w:eastAsia="en-CA"/>
              </w:rPr>
              <w:t>24.6</w:t>
            </w:r>
          </w:p>
        </w:tc>
        <w:tc>
          <w:tcPr>
            <w:tcW w:w="1710" w:type="dxa"/>
            <w:tcBorders>
              <w:top w:val="single" w:sz="4" w:space="0" w:color="000000"/>
              <w:left w:val="nil"/>
              <w:bottom w:val="nil"/>
              <w:right w:val="nil"/>
            </w:tcBorders>
            <w:shd w:val="clear" w:color="000000" w:fill="FFC648"/>
            <w:vAlign w:val="center"/>
            <w:hideMark/>
          </w:tcPr>
          <w:p w14:paraId="467901DC" w14:textId="77777777" w:rsidR="001E774C" w:rsidRPr="00C82174" w:rsidRDefault="001E774C" w:rsidP="00F0381D">
            <w:pPr>
              <w:rPr>
                <w:b/>
                <w:bCs/>
                <w:lang w:eastAsia="en-CA"/>
              </w:rPr>
            </w:pPr>
            <w:r w:rsidRPr="00C82174">
              <w:rPr>
                <w:b/>
                <w:bCs/>
                <w:lang w:eastAsia="en-CA"/>
              </w:rPr>
              <w:t>20.2</w:t>
            </w:r>
          </w:p>
        </w:tc>
        <w:tc>
          <w:tcPr>
            <w:tcW w:w="1800" w:type="dxa"/>
            <w:tcBorders>
              <w:top w:val="single" w:sz="4" w:space="0" w:color="000000"/>
              <w:left w:val="nil"/>
              <w:bottom w:val="nil"/>
              <w:right w:val="single" w:sz="4" w:space="0" w:color="000000"/>
            </w:tcBorders>
            <w:shd w:val="clear" w:color="000000" w:fill="FFC000"/>
            <w:vAlign w:val="center"/>
            <w:hideMark/>
          </w:tcPr>
          <w:p w14:paraId="2B4934FB" w14:textId="77777777" w:rsidR="001E774C" w:rsidRPr="00C82174" w:rsidRDefault="001E774C" w:rsidP="00F0381D">
            <w:pPr>
              <w:rPr>
                <w:b/>
                <w:bCs/>
                <w:lang w:eastAsia="en-CA"/>
              </w:rPr>
            </w:pPr>
            <w:r w:rsidRPr="00C82174">
              <w:rPr>
                <w:b/>
                <w:bCs/>
                <w:lang w:eastAsia="en-CA"/>
              </w:rPr>
              <w:t>28</w:t>
            </w:r>
          </w:p>
        </w:tc>
      </w:tr>
      <w:tr w:rsidR="001E774C" w:rsidRPr="001E774C" w14:paraId="2B6F365B"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4D218FE7" w14:textId="77777777" w:rsidR="001E774C" w:rsidRPr="00C82174" w:rsidRDefault="001E774C" w:rsidP="00B40C9A">
            <w:pPr>
              <w:ind w:firstLine="0"/>
              <w:rPr>
                <w:b/>
                <w:bCs/>
                <w:lang w:eastAsia="en-CA"/>
              </w:rPr>
            </w:pPr>
            <w:r w:rsidRPr="00C82174">
              <w:rPr>
                <w:b/>
                <w:bCs/>
                <w:lang w:eastAsia="en-CA"/>
              </w:rPr>
              <w:t>Tourist attractions</w:t>
            </w:r>
          </w:p>
        </w:tc>
        <w:tc>
          <w:tcPr>
            <w:tcW w:w="1260" w:type="dxa"/>
            <w:tcBorders>
              <w:top w:val="single" w:sz="4" w:space="0" w:color="000000"/>
              <w:left w:val="nil"/>
              <w:bottom w:val="nil"/>
              <w:right w:val="nil"/>
            </w:tcBorders>
            <w:shd w:val="clear" w:color="000000" w:fill="74C9D9"/>
            <w:vAlign w:val="center"/>
            <w:hideMark/>
          </w:tcPr>
          <w:p w14:paraId="1B9A7E3E" w14:textId="77777777" w:rsidR="001E774C" w:rsidRPr="00C82174" w:rsidRDefault="001E774C" w:rsidP="00F0381D">
            <w:pPr>
              <w:rPr>
                <w:b/>
                <w:bCs/>
                <w:lang w:eastAsia="en-CA"/>
              </w:rPr>
            </w:pPr>
            <w:r w:rsidRPr="00C82174">
              <w:rPr>
                <w:b/>
                <w:bCs/>
                <w:lang w:eastAsia="en-CA"/>
              </w:rPr>
              <w:t>64.3</w:t>
            </w:r>
          </w:p>
        </w:tc>
        <w:tc>
          <w:tcPr>
            <w:tcW w:w="1710" w:type="dxa"/>
            <w:tcBorders>
              <w:top w:val="single" w:sz="4" w:space="0" w:color="000000"/>
              <w:left w:val="nil"/>
              <w:bottom w:val="nil"/>
              <w:right w:val="nil"/>
            </w:tcBorders>
            <w:shd w:val="clear" w:color="000000" w:fill="FFC000"/>
            <w:vAlign w:val="center"/>
            <w:hideMark/>
          </w:tcPr>
          <w:p w14:paraId="10E9C487" w14:textId="77777777" w:rsidR="001E774C" w:rsidRPr="00C82174" w:rsidRDefault="001E774C" w:rsidP="00F0381D">
            <w:pPr>
              <w:rPr>
                <w:b/>
                <w:bCs/>
                <w:lang w:eastAsia="en-CA"/>
              </w:rPr>
            </w:pPr>
            <w:r w:rsidRPr="00C82174">
              <w:rPr>
                <w:b/>
                <w:bCs/>
                <w:lang w:eastAsia="en-CA"/>
              </w:rPr>
              <w:t>23.3</w:t>
            </w:r>
          </w:p>
        </w:tc>
        <w:tc>
          <w:tcPr>
            <w:tcW w:w="1440" w:type="dxa"/>
            <w:tcBorders>
              <w:top w:val="single" w:sz="4" w:space="0" w:color="000000"/>
              <w:left w:val="nil"/>
              <w:bottom w:val="nil"/>
              <w:right w:val="nil"/>
            </w:tcBorders>
            <w:shd w:val="clear" w:color="000000" w:fill="FFC000"/>
            <w:vAlign w:val="center"/>
            <w:hideMark/>
          </w:tcPr>
          <w:p w14:paraId="732524C4" w14:textId="77777777" w:rsidR="001E774C" w:rsidRPr="00C82174" w:rsidRDefault="001E774C" w:rsidP="00F0381D">
            <w:pPr>
              <w:rPr>
                <w:b/>
                <w:bCs/>
                <w:lang w:eastAsia="en-CA"/>
              </w:rPr>
            </w:pPr>
            <w:r w:rsidRPr="00C82174">
              <w:rPr>
                <w:b/>
                <w:bCs/>
                <w:lang w:eastAsia="en-CA"/>
              </w:rPr>
              <w:t>22.3</w:t>
            </w:r>
          </w:p>
        </w:tc>
        <w:tc>
          <w:tcPr>
            <w:tcW w:w="1710" w:type="dxa"/>
            <w:tcBorders>
              <w:top w:val="single" w:sz="4" w:space="0" w:color="000000"/>
              <w:left w:val="nil"/>
              <w:bottom w:val="nil"/>
              <w:right w:val="nil"/>
            </w:tcBorders>
            <w:shd w:val="clear" w:color="000000" w:fill="FFCA7B"/>
            <w:vAlign w:val="center"/>
            <w:hideMark/>
          </w:tcPr>
          <w:p w14:paraId="7300561B" w14:textId="77777777" w:rsidR="001E774C" w:rsidRPr="00C82174" w:rsidRDefault="001E774C" w:rsidP="00F0381D">
            <w:pPr>
              <w:rPr>
                <w:b/>
                <w:bCs/>
                <w:lang w:eastAsia="en-CA"/>
              </w:rPr>
            </w:pPr>
            <w:r w:rsidRPr="00C82174">
              <w:rPr>
                <w:b/>
                <w:bCs/>
                <w:lang w:eastAsia="en-CA"/>
              </w:rPr>
              <w:t>18.9</w:t>
            </w:r>
          </w:p>
        </w:tc>
        <w:tc>
          <w:tcPr>
            <w:tcW w:w="1800" w:type="dxa"/>
            <w:tcBorders>
              <w:top w:val="single" w:sz="4" w:space="0" w:color="000000"/>
              <w:left w:val="nil"/>
              <w:bottom w:val="nil"/>
              <w:right w:val="single" w:sz="4" w:space="0" w:color="000000"/>
            </w:tcBorders>
            <w:shd w:val="clear" w:color="000000" w:fill="FFC000"/>
            <w:vAlign w:val="center"/>
            <w:hideMark/>
          </w:tcPr>
          <w:p w14:paraId="6EF44104" w14:textId="77777777" w:rsidR="001E774C" w:rsidRPr="00C82174" w:rsidRDefault="001E774C" w:rsidP="00F0381D">
            <w:pPr>
              <w:rPr>
                <w:b/>
                <w:bCs/>
                <w:lang w:eastAsia="en-CA"/>
              </w:rPr>
            </w:pPr>
            <w:r w:rsidRPr="00C82174">
              <w:rPr>
                <w:b/>
                <w:bCs/>
                <w:lang w:eastAsia="en-CA"/>
              </w:rPr>
              <w:t>37.7</w:t>
            </w:r>
          </w:p>
        </w:tc>
      </w:tr>
      <w:tr w:rsidR="001E774C" w:rsidRPr="001E774C" w14:paraId="46C38DCD" w14:textId="77777777" w:rsidTr="00B40C9A">
        <w:trPr>
          <w:trHeight w:val="825"/>
        </w:trPr>
        <w:tc>
          <w:tcPr>
            <w:tcW w:w="2250" w:type="dxa"/>
            <w:tcBorders>
              <w:top w:val="single" w:sz="4" w:space="0" w:color="000000"/>
              <w:left w:val="single" w:sz="4" w:space="0" w:color="000000"/>
              <w:bottom w:val="nil"/>
              <w:right w:val="nil"/>
            </w:tcBorders>
            <w:shd w:val="clear" w:color="000000" w:fill="FFFF00"/>
            <w:vAlign w:val="center"/>
            <w:hideMark/>
          </w:tcPr>
          <w:p w14:paraId="64851D4B" w14:textId="77777777" w:rsidR="001E774C" w:rsidRPr="00C82174" w:rsidRDefault="001E774C" w:rsidP="00B40C9A">
            <w:pPr>
              <w:ind w:firstLine="0"/>
              <w:rPr>
                <w:b/>
                <w:bCs/>
                <w:lang w:eastAsia="en-CA"/>
              </w:rPr>
            </w:pPr>
            <w:r w:rsidRPr="00C82174">
              <w:rPr>
                <w:b/>
                <w:bCs/>
                <w:lang w:eastAsia="en-CA"/>
              </w:rPr>
              <w:lastRenderedPageBreak/>
              <w:t>Athletic and recreation facilities</w:t>
            </w:r>
          </w:p>
        </w:tc>
        <w:tc>
          <w:tcPr>
            <w:tcW w:w="1260" w:type="dxa"/>
            <w:tcBorders>
              <w:top w:val="single" w:sz="4" w:space="0" w:color="000000"/>
              <w:left w:val="nil"/>
              <w:bottom w:val="nil"/>
              <w:right w:val="nil"/>
            </w:tcBorders>
            <w:shd w:val="clear" w:color="000000" w:fill="96D3ED"/>
            <w:vAlign w:val="center"/>
            <w:hideMark/>
          </w:tcPr>
          <w:p w14:paraId="61C1B716" w14:textId="77777777" w:rsidR="001E774C" w:rsidRPr="00C82174" w:rsidRDefault="001E774C" w:rsidP="00B40C9A">
            <w:pPr>
              <w:ind w:firstLine="0"/>
              <w:rPr>
                <w:b/>
                <w:bCs/>
                <w:lang w:eastAsia="en-CA"/>
              </w:rPr>
            </w:pPr>
            <w:r w:rsidRPr="00C82174">
              <w:rPr>
                <w:b/>
                <w:bCs/>
                <w:lang w:eastAsia="en-CA"/>
              </w:rPr>
              <w:t>57.2</w:t>
            </w:r>
          </w:p>
        </w:tc>
        <w:tc>
          <w:tcPr>
            <w:tcW w:w="1710" w:type="dxa"/>
            <w:tcBorders>
              <w:top w:val="single" w:sz="4" w:space="0" w:color="000000"/>
              <w:left w:val="nil"/>
              <w:bottom w:val="nil"/>
              <w:right w:val="nil"/>
            </w:tcBorders>
            <w:shd w:val="clear" w:color="000000" w:fill="FFC000"/>
            <w:vAlign w:val="center"/>
            <w:hideMark/>
          </w:tcPr>
          <w:p w14:paraId="5F99B5F6" w14:textId="77777777" w:rsidR="001E774C" w:rsidRPr="00C82174" w:rsidRDefault="001E774C" w:rsidP="00F0381D">
            <w:pPr>
              <w:rPr>
                <w:b/>
                <w:bCs/>
                <w:lang w:eastAsia="en-CA"/>
              </w:rPr>
            </w:pPr>
            <w:r w:rsidRPr="00C82174">
              <w:rPr>
                <w:b/>
                <w:bCs/>
                <w:lang w:eastAsia="en-CA"/>
              </w:rPr>
              <w:t>23</w:t>
            </w:r>
          </w:p>
        </w:tc>
        <w:tc>
          <w:tcPr>
            <w:tcW w:w="1440" w:type="dxa"/>
            <w:tcBorders>
              <w:top w:val="single" w:sz="4" w:space="0" w:color="000000"/>
              <w:left w:val="nil"/>
              <w:bottom w:val="nil"/>
              <w:right w:val="nil"/>
            </w:tcBorders>
            <w:shd w:val="clear" w:color="000000" w:fill="FFC968"/>
            <w:vAlign w:val="center"/>
            <w:hideMark/>
          </w:tcPr>
          <w:p w14:paraId="26E67895" w14:textId="77777777" w:rsidR="001E774C" w:rsidRPr="00C82174" w:rsidRDefault="001E774C" w:rsidP="00F0381D">
            <w:pPr>
              <w:rPr>
                <w:b/>
                <w:bCs/>
                <w:lang w:eastAsia="en-CA"/>
              </w:rPr>
            </w:pPr>
            <w:r w:rsidRPr="00C82174">
              <w:rPr>
                <w:b/>
                <w:bCs/>
                <w:lang w:eastAsia="en-CA"/>
              </w:rPr>
              <w:t>19.4</w:t>
            </w:r>
          </w:p>
        </w:tc>
        <w:tc>
          <w:tcPr>
            <w:tcW w:w="1710" w:type="dxa"/>
            <w:tcBorders>
              <w:top w:val="single" w:sz="4" w:space="0" w:color="000000"/>
              <w:left w:val="nil"/>
              <w:bottom w:val="nil"/>
              <w:right w:val="nil"/>
            </w:tcBorders>
            <w:shd w:val="clear" w:color="000000" w:fill="FFCF9F"/>
            <w:vAlign w:val="center"/>
            <w:hideMark/>
          </w:tcPr>
          <w:p w14:paraId="72ACBA47" w14:textId="77777777" w:rsidR="001E774C" w:rsidRPr="00C82174" w:rsidRDefault="001E774C" w:rsidP="00F0381D">
            <w:pPr>
              <w:rPr>
                <w:b/>
                <w:bCs/>
                <w:lang w:eastAsia="en-CA"/>
              </w:rPr>
            </w:pPr>
            <w:r w:rsidRPr="00C82174">
              <w:rPr>
                <w:b/>
                <w:bCs/>
                <w:lang w:eastAsia="en-CA"/>
              </w:rPr>
              <w:t>17.8</w:t>
            </w:r>
          </w:p>
        </w:tc>
        <w:tc>
          <w:tcPr>
            <w:tcW w:w="1800" w:type="dxa"/>
            <w:tcBorders>
              <w:top w:val="single" w:sz="4" w:space="0" w:color="000000"/>
              <w:left w:val="nil"/>
              <w:bottom w:val="nil"/>
              <w:right w:val="single" w:sz="4" w:space="0" w:color="000000"/>
            </w:tcBorders>
            <w:shd w:val="clear" w:color="000000" w:fill="FFC000"/>
            <w:vAlign w:val="center"/>
            <w:hideMark/>
          </w:tcPr>
          <w:p w14:paraId="677320F0" w14:textId="77777777" w:rsidR="001E774C" w:rsidRPr="00C82174" w:rsidRDefault="001E774C" w:rsidP="00F0381D">
            <w:pPr>
              <w:rPr>
                <w:b/>
                <w:bCs/>
                <w:lang w:eastAsia="en-CA"/>
              </w:rPr>
            </w:pPr>
            <w:r w:rsidRPr="00C82174">
              <w:rPr>
                <w:b/>
                <w:bCs/>
                <w:lang w:eastAsia="en-CA"/>
              </w:rPr>
              <w:t>33.6</w:t>
            </w:r>
          </w:p>
        </w:tc>
      </w:tr>
      <w:tr w:rsidR="001E774C" w:rsidRPr="001E774C" w14:paraId="31DCFE74"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5723B98D" w14:textId="77777777" w:rsidR="001E774C" w:rsidRPr="00C82174" w:rsidRDefault="001E774C" w:rsidP="00B40C9A">
            <w:pPr>
              <w:ind w:firstLine="0"/>
              <w:rPr>
                <w:b/>
                <w:bCs/>
                <w:lang w:eastAsia="en-CA"/>
              </w:rPr>
            </w:pPr>
            <w:r w:rsidRPr="00C82174">
              <w:rPr>
                <w:b/>
                <w:bCs/>
                <w:lang w:eastAsia="en-CA"/>
              </w:rPr>
              <w:t>Educational institutions</w:t>
            </w:r>
          </w:p>
        </w:tc>
        <w:tc>
          <w:tcPr>
            <w:tcW w:w="1260" w:type="dxa"/>
            <w:tcBorders>
              <w:top w:val="single" w:sz="4" w:space="0" w:color="000000"/>
              <w:left w:val="nil"/>
              <w:bottom w:val="nil"/>
              <w:right w:val="nil"/>
            </w:tcBorders>
            <w:shd w:val="clear" w:color="000000" w:fill="A8D9EE"/>
            <w:vAlign w:val="center"/>
            <w:hideMark/>
          </w:tcPr>
          <w:p w14:paraId="10924C63" w14:textId="77777777" w:rsidR="001E774C" w:rsidRPr="00C82174" w:rsidRDefault="001E774C" w:rsidP="00B40C9A">
            <w:pPr>
              <w:ind w:firstLine="0"/>
              <w:rPr>
                <w:b/>
                <w:bCs/>
                <w:lang w:eastAsia="en-CA"/>
              </w:rPr>
            </w:pPr>
            <w:r w:rsidRPr="00C82174">
              <w:rPr>
                <w:b/>
                <w:bCs/>
                <w:lang w:eastAsia="en-CA"/>
              </w:rPr>
              <w:t>53.8</w:t>
            </w:r>
          </w:p>
        </w:tc>
        <w:tc>
          <w:tcPr>
            <w:tcW w:w="1710" w:type="dxa"/>
            <w:tcBorders>
              <w:top w:val="single" w:sz="4" w:space="0" w:color="000000"/>
              <w:left w:val="nil"/>
              <w:bottom w:val="nil"/>
              <w:right w:val="nil"/>
            </w:tcBorders>
            <w:shd w:val="clear" w:color="000000" w:fill="FFC216"/>
            <w:vAlign w:val="center"/>
            <w:hideMark/>
          </w:tcPr>
          <w:p w14:paraId="57893699" w14:textId="77777777" w:rsidR="001E774C" w:rsidRPr="00C82174" w:rsidRDefault="001E774C" w:rsidP="00F0381D">
            <w:pPr>
              <w:rPr>
                <w:b/>
                <w:bCs/>
                <w:lang w:eastAsia="en-CA"/>
              </w:rPr>
            </w:pPr>
            <w:r w:rsidRPr="00C82174">
              <w:rPr>
                <w:b/>
                <w:bCs/>
                <w:lang w:eastAsia="en-CA"/>
              </w:rPr>
              <w:t>21.5</w:t>
            </w:r>
          </w:p>
        </w:tc>
        <w:tc>
          <w:tcPr>
            <w:tcW w:w="1440" w:type="dxa"/>
            <w:tcBorders>
              <w:top w:val="single" w:sz="4" w:space="0" w:color="000000"/>
              <w:left w:val="nil"/>
              <w:bottom w:val="nil"/>
              <w:right w:val="nil"/>
            </w:tcBorders>
            <w:shd w:val="clear" w:color="000000" w:fill="FFDFBE"/>
            <w:vAlign w:val="center"/>
            <w:hideMark/>
          </w:tcPr>
          <w:p w14:paraId="4600741B" w14:textId="77777777" w:rsidR="001E774C" w:rsidRPr="00C82174" w:rsidRDefault="001E774C" w:rsidP="00F0381D">
            <w:pPr>
              <w:rPr>
                <w:b/>
                <w:bCs/>
                <w:lang w:eastAsia="en-CA"/>
              </w:rPr>
            </w:pPr>
            <w:r w:rsidRPr="00C82174">
              <w:rPr>
                <w:b/>
                <w:bCs/>
                <w:lang w:eastAsia="en-CA"/>
              </w:rPr>
              <w:t>15.8</w:t>
            </w:r>
          </w:p>
        </w:tc>
        <w:tc>
          <w:tcPr>
            <w:tcW w:w="1710" w:type="dxa"/>
            <w:tcBorders>
              <w:top w:val="single" w:sz="4" w:space="0" w:color="000000"/>
              <w:left w:val="nil"/>
              <w:bottom w:val="nil"/>
              <w:right w:val="nil"/>
            </w:tcBorders>
            <w:shd w:val="clear" w:color="000000" w:fill="FFF1E3"/>
            <w:vAlign w:val="center"/>
            <w:hideMark/>
          </w:tcPr>
          <w:p w14:paraId="1A731890" w14:textId="77777777" w:rsidR="001E774C" w:rsidRPr="00C82174" w:rsidRDefault="001E774C" w:rsidP="00F0381D">
            <w:pPr>
              <w:rPr>
                <w:b/>
                <w:bCs/>
                <w:lang w:eastAsia="en-CA"/>
              </w:rPr>
            </w:pPr>
            <w:r w:rsidRPr="00C82174">
              <w:rPr>
                <w:b/>
                <w:bCs/>
                <w:lang w:eastAsia="en-CA"/>
              </w:rPr>
              <w:t>13.4</w:t>
            </w:r>
          </w:p>
        </w:tc>
        <w:tc>
          <w:tcPr>
            <w:tcW w:w="1800" w:type="dxa"/>
            <w:tcBorders>
              <w:top w:val="single" w:sz="4" w:space="0" w:color="000000"/>
              <w:left w:val="nil"/>
              <w:bottom w:val="nil"/>
              <w:right w:val="single" w:sz="4" w:space="0" w:color="000000"/>
            </w:tcBorders>
            <w:shd w:val="clear" w:color="000000" w:fill="FFC10A"/>
            <w:vAlign w:val="center"/>
            <w:hideMark/>
          </w:tcPr>
          <w:p w14:paraId="4C81FD3E" w14:textId="77777777" w:rsidR="001E774C" w:rsidRPr="00C82174" w:rsidRDefault="001E774C" w:rsidP="00F0381D">
            <w:pPr>
              <w:rPr>
                <w:b/>
                <w:bCs/>
                <w:lang w:eastAsia="en-CA"/>
              </w:rPr>
            </w:pPr>
            <w:r w:rsidRPr="00C82174">
              <w:rPr>
                <w:b/>
                <w:bCs/>
                <w:lang w:eastAsia="en-CA"/>
              </w:rPr>
              <w:t>21.8</w:t>
            </w:r>
          </w:p>
        </w:tc>
      </w:tr>
      <w:tr w:rsidR="001E774C" w:rsidRPr="001E774C" w14:paraId="62828D56" w14:textId="77777777" w:rsidTr="00B40C9A">
        <w:trPr>
          <w:trHeight w:val="405"/>
        </w:trPr>
        <w:tc>
          <w:tcPr>
            <w:tcW w:w="2250" w:type="dxa"/>
            <w:tcBorders>
              <w:top w:val="single" w:sz="4" w:space="0" w:color="000000"/>
              <w:left w:val="single" w:sz="4" w:space="0" w:color="000000"/>
              <w:bottom w:val="nil"/>
              <w:right w:val="nil"/>
            </w:tcBorders>
            <w:shd w:val="clear" w:color="000000" w:fill="FFFF00"/>
            <w:vAlign w:val="center"/>
            <w:hideMark/>
          </w:tcPr>
          <w:p w14:paraId="061A7432" w14:textId="77777777" w:rsidR="001E774C" w:rsidRPr="00C82174" w:rsidRDefault="001E774C" w:rsidP="00B40C9A">
            <w:pPr>
              <w:ind w:firstLine="0"/>
              <w:rPr>
                <w:b/>
                <w:bCs/>
                <w:lang w:eastAsia="en-CA"/>
              </w:rPr>
            </w:pPr>
            <w:r w:rsidRPr="00C82174">
              <w:rPr>
                <w:b/>
                <w:bCs/>
                <w:lang w:eastAsia="en-CA"/>
              </w:rPr>
              <w:t>Entertainment venues</w:t>
            </w:r>
          </w:p>
        </w:tc>
        <w:tc>
          <w:tcPr>
            <w:tcW w:w="1260" w:type="dxa"/>
            <w:tcBorders>
              <w:top w:val="single" w:sz="4" w:space="0" w:color="000000"/>
              <w:left w:val="nil"/>
              <w:bottom w:val="nil"/>
              <w:right w:val="nil"/>
            </w:tcBorders>
            <w:shd w:val="clear" w:color="000000" w:fill="BCE0EF"/>
            <w:vAlign w:val="center"/>
            <w:hideMark/>
          </w:tcPr>
          <w:p w14:paraId="3FE863A7" w14:textId="77777777" w:rsidR="001E774C" w:rsidRPr="00C82174" w:rsidRDefault="001E774C" w:rsidP="00B40C9A">
            <w:pPr>
              <w:ind w:firstLine="0"/>
              <w:rPr>
                <w:b/>
                <w:bCs/>
                <w:lang w:eastAsia="en-CA"/>
              </w:rPr>
            </w:pPr>
            <w:r w:rsidRPr="00C82174">
              <w:rPr>
                <w:b/>
                <w:bCs/>
                <w:lang w:eastAsia="en-CA"/>
              </w:rPr>
              <w:t>49.8</w:t>
            </w:r>
          </w:p>
        </w:tc>
        <w:tc>
          <w:tcPr>
            <w:tcW w:w="1710" w:type="dxa"/>
            <w:tcBorders>
              <w:top w:val="single" w:sz="4" w:space="0" w:color="000000"/>
              <w:left w:val="nil"/>
              <w:bottom w:val="nil"/>
              <w:right w:val="nil"/>
            </w:tcBorders>
            <w:shd w:val="clear" w:color="000000" w:fill="FFC96F"/>
            <w:vAlign w:val="center"/>
            <w:hideMark/>
          </w:tcPr>
          <w:p w14:paraId="5143CE11" w14:textId="77777777" w:rsidR="001E774C" w:rsidRPr="00C82174" w:rsidRDefault="001E774C" w:rsidP="00F0381D">
            <w:pPr>
              <w:rPr>
                <w:b/>
                <w:bCs/>
                <w:lang w:eastAsia="en-CA"/>
              </w:rPr>
            </w:pPr>
            <w:r w:rsidRPr="00C82174">
              <w:rPr>
                <w:b/>
                <w:bCs/>
                <w:lang w:eastAsia="en-CA"/>
              </w:rPr>
              <w:t>19.2</w:t>
            </w:r>
          </w:p>
        </w:tc>
        <w:tc>
          <w:tcPr>
            <w:tcW w:w="1440" w:type="dxa"/>
            <w:tcBorders>
              <w:top w:val="single" w:sz="4" w:space="0" w:color="000000"/>
              <w:left w:val="nil"/>
              <w:bottom w:val="nil"/>
              <w:right w:val="nil"/>
            </w:tcBorders>
            <w:shd w:val="clear" w:color="000000" w:fill="FFC754"/>
            <w:vAlign w:val="center"/>
            <w:hideMark/>
          </w:tcPr>
          <w:p w14:paraId="31453832" w14:textId="77777777" w:rsidR="001E774C" w:rsidRPr="00C82174" w:rsidRDefault="001E774C" w:rsidP="00F0381D">
            <w:pPr>
              <w:rPr>
                <w:b/>
                <w:bCs/>
                <w:lang w:eastAsia="en-CA"/>
              </w:rPr>
            </w:pPr>
            <w:r w:rsidRPr="00C82174">
              <w:rPr>
                <w:b/>
                <w:bCs/>
                <w:lang w:eastAsia="en-CA"/>
              </w:rPr>
              <w:t>19.9</w:t>
            </w:r>
          </w:p>
        </w:tc>
        <w:tc>
          <w:tcPr>
            <w:tcW w:w="1710" w:type="dxa"/>
            <w:tcBorders>
              <w:top w:val="single" w:sz="4" w:space="0" w:color="000000"/>
              <w:left w:val="nil"/>
              <w:bottom w:val="nil"/>
              <w:right w:val="nil"/>
            </w:tcBorders>
            <w:shd w:val="clear" w:color="000000" w:fill="FFEEDC"/>
            <w:vAlign w:val="center"/>
            <w:hideMark/>
          </w:tcPr>
          <w:p w14:paraId="47899DB8" w14:textId="77777777" w:rsidR="001E774C" w:rsidRPr="00C82174" w:rsidRDefault="001E774C" w:rsidP="00F0381D">
            <w:pPr>
              <w:rPr>
                <w:b/>
                <w:bCs/>
                <w:lang w:eastAsia="en-CA"/>
              </w:rPr>
            </w:pPr>
            <w:r w:rsidRPr="00C82174">
              <w:rPr>
                <w:b/>
                <w:bCs/>
                <w:lang w:eastAsia="en-CA"/>
              </w:rPr>
              <w:t>13.9</w:t>
            </w:r>
          </w:p>
        </w:tc>
        <w:tc>
          <w:tcPr>
            <w:tcW w:w="1800" w:type="dxa"/>
            <w:tcBorders>
              <w:top w:val="single" w:sz="4" w:space="0" w:color="000000"/>
              <w:left w:val="nil"/>
              <w:bottom w:val="nil"/>
              <w:right w:val="single" w:sz="4" w:space="0" w:color="000000"/>
            </w:tcBorders>
            <w:shd w:val="clear" w:color="000000" w:fill="FFC000"/>
            <w:vAlign w:val="center"/>
            <w:hideMark/>
          </w:tcPr>
          <w:p w14:paraId="05748798" w14:textId="77777777" w:rsidR="001E774C" w:rsidRPr="00C82174" w:rsidRDefault="001E774C" w:rsidP="00F0381D">
            <w:pPr>
              <w:rPr>
                <w:b/>
                <w:bCs/>
                <w:lang w:eastAsia="en-CA"/>
              </w:rPr>
            </w:pPr>
            <w:r w:rsidRPr="00C82174">
              <w:rPr>
                <w:b/>
                <w:bCs/>
                <w:lang w:eastAsia="en-CA"/>
              </w:rPr>
              <w:t>31.7</w:t>
            </w:r>
          </w:p>
        </w:tc>
      </w:tr>
      <w:tr w:rsidR="001E774C" w:rsidRPr="001E774C" w14:paraId="7925F929" w14:textId="77777777" w:rsidTr="00B40C9A">
        <w:trPr>
          <w:trHeight w:val="810"/>
        </w:trPr>
        <w:tc>
          <w:tcPr>
            <w:tcW w:w="2250" w:type="dxa"/>
            <w:tcBorders>
              <w:top w:val="single" w:sz="4" w:space="0" w:color="000000"/>
              <w:left w:val="single" w:sz="4" w:space="0" w:color="000000"/>
              <w:bottom w:val="nil"/>
              <w:right w:val="nil"/>
            </w:tcBorders>
            <w:shd w:val="clear" w:color="000000" w:fill="FFFF00"/>
            <w:vAlign w:val="center"/>
            <w:hideMark/>
          </w:tcPr>
          <w:p w14:paraId="45750225" w14:textId="77777777" w:rsidR="001E774C" w:rsidRPr="00C82174" w:rsidRDefault="001E774C" w:rsidP="00B40C9A">
            <w:pPr>
              <w:ind w:firstLine="0"/>
              <w:rPr>
                <w:b/>
                <w:bCs/>
                <w:lang w:eastAsia="en-CA"/>
              </w:rPr>
            </w:pPr>
            <w:r w:rsidRPr="00C82174">
              <w:rPr>
                <w:b/>
                <w:bCs/>
                <w:lang w:eastAsia="en-CA"/>
              </w:rPr>
              <w:t>Government service centres</w:t>
            </w:r>
          </w:p>
        </w:tc>
        <w:tc>
          <w:tcPr>
            <w:tcW w:w="1260" w:type="dxa"/>
            <w:tcBorders>
              <w:top w:val="single" w:sz="4" w:space="0" w:color="000000"/>
              <w:left w:val="nil"/>
              <w:bottom w:val="nil"/>
              <w:right w:val="nil"/>
            </w:tcBorders>
            <w:shd w:val="clear" w:color="000000" w:fill="F2F2F2"/>
            <w:vAlign w:val="center"/>
            <w:hideMark/>
          </w:tcPr>
          <w:p w14:paraId="34E0207B" w14:textId="77777777" w:rsidR="001E774C" w:rsidRPr="00C82174" w:rsidRDefault="001E774C" w:rsidP="00B40C9A">
            <w:pPr>
              <w:ind w:firstLine="0"/>
              <w:rPr>
                <w:b/>
                <w:bCs/>
                <w:lang w:eastAsia="en-CA"/>
              </w:rPr>
            </w:pPr>
            <w:r w:rsidRPr="00C82174">
              <w:rPr>
                <w:b/>
                <w:bCs/>
                <w:lang w:eastAsia="en-CA"/>
              </w:rPr>
              <w:t>39.4</w:t>
            </w:r>
          </w:p>
        </w:tc>
        <w:tc>
          <w:tcPr>
            <w:tcW w:w="1710" w:type="dxa"/>
            <w:tcBorders>
              <w:top w:val="single" w:sz="4" w:space="0" w:color="000000"/>
              <w:left w:val="nil"/>
              <w:bottom w:val="nil"/>
              <w:right w:val="nil"/>
            </w:tcBorders>
            <w:shd w:val="clear" w:color="000000" w:fill="FFCD9B"/>
            <w:vAlign w:val="center"/>
            <w:hideMark/>
          </w:tcPr>
          <w:p w14:paraId="154ADCC3" w14:textId="77777777" w:rsidR="001E774C" w:rsidRPr="00C82174" w:rsidRDefault="001E774C" w:rsidP="00F0381D">
            <w:pPr>
              <w:rPr>
                <w:b/>
                <w:bCs/>
                <w:lang w:eastAsia="en-CA"/>
              </w:rPr>
            </w:pPr>
            <w:r w:rsidRPr="00C82174">
              <w:rPr>
                <w:b/>
                <w:bCs/>
                <w:lang w:eastAsia="en-CA"/>
              </w:rPr>
              <w:t>18</w:t>
            </w:r>
          </w:p>
        </w:tc>
        <w:tc>
          <w:tcPr>
            <w:tcW w:w="1440" w:type="dxa"/>
            <w:tcBorders>
              <w:top w:val="single" w:sz="4" w:space="0" w:color="000000"/>
              <w:left w:val="nil"/>
              <w:bottom w:val="nil"/>
              <w:right w:val="nil"/>
            </w:tcBorders>
            <w:shd w:val="clear" w:color="000000" w:fill="FFD1A2"/>
            <w:vAlign w:val="center"/>
            <w:hideMark/>
          </w:tcPr>
          <w:p w14:paraId="7403E2A7" w14:textId="77777777" w:rsidR="001E774C" w:rsidRPr="00C82174" w:rsidRDefault="001E774C" w:rsidP="00F0381D">
            <w:pPr>
              <w:rPr>
                <w:b/>
                <w:bCs/>
                <w:lang w:eastAsia="en-CA"/>
              </w:rPr>
            </w:pPr>
            <w:r w:rsidRPr="00C82174">
              <w:rPr>
                <w:b/>
                <w:bCs/>
                <w:lang w:eastAsia="en-CA"/>
              </w:rPr>
              <w:t>17.6</w:t>
            </w:r>
          </w:p>
        </w:tc>
        <w:tc>
          <w:tcPr>
            <w:tcW w:w="1710" w:type="dxa"/>
            <w:tcBorders>
              <w:top w:val="single" w:sz="4" w:space="0" w:color="000000"/>
              <w:left w:val="nil"/>
              <w:bottom w:val="nil"/>
              <w:right w:val="nil"/>
            </w:tcBorders>
            <w:shd w:val="clear" w:color="000000" w:fill="FFFFFF"/>
            <w:vAlign w:val="center"/>
            <w:hideMark/>
          </w:tcPr>
          <w:p w14:paraId="541B1B40" w14:textId="77777777" w:rsidR="001E774C" w:rsidRPr="00C82174" w:rsidRDefault="001E774C" w:rsidP="00F0381D">
            <w:pPr>
              <w:rPr>
                <w:b/>
                <w:bCs/>
                <w:lang w:eastAsia="en-CA"/>
              </w:rPr>
            </w:pPr>
            <w:r w:rsidRPr="00C82174">
              <w:rPr>
                <w:b/>
                <w:bCs/>
                <w:lang w:eastAsia="en-CA"/>
              </w:rPr>
              <w:t>11.6</w:t>
            </w:r>
          </w:p>
        </w:tc>
        <w:tc>
          <w:tcPr>
            <w:tcW w:w="1800" w:type="dxa"/>
            <w:tcBorders>
              <w:top w:val="single" w:sz="4" w:space="0" w:color="000000"/>
              <w:left w:val="nil"/>
              <w:bottom w:val="nil"/>
              <w:right w:val="single" w:sz="4" w:space="0" w:color="000000"/>
            </w:tcBorders>
            <w:shd w:val="clear" w:color="000000" w:fill="FFCC92"/>
            <w:vAlign w:val="center"/>
            <w:hideMark/>
          </w:tcPr>
          <w:p w14:paraId="2EF14662" w14:textId="77777777" w:rsidR="001E774C" w:rsidRPr="00C82174" w:rsidRDefault="001E774C" w:rsidP="00F0381D">
            <w:pPr>
              <w:rPr>
                <w:b/>
                <w:bCs/>
                <w:lang w:eastAsia="en-CA"/>
              </w:rPr>
            </w:pPr>
            <w:r w:rsidRPr="00C82174">
              <w:rPr>
                <w:b/>
                <w:bCs/>
                <w:lang w:eastAsia="en-CA"/>
              </w:rPr>
              <w:t>18.3</w:t>
            </w:r>
          </w:p>
        </w:tc>
      </w:tr>
      <w:tr w:rsidR="001E774C" w:rsidRPr="001E774C" w14:paraId="59B824D0" w14:textId="77777777" w:rsidTr="00B40C9A">
        <w:trPr>
          <w:trHeight w:val="405"/>
        </w:trPr>
        <w:tc>
          <w:tcPr>
            <w:tcW w:w="2250" w:type="dxa"/>
            <w:tcBorders>
              <w:top w:val="single" w:sz="4" w:space="0" w:color="000000"/>
              <w:left w:val="single" w:sz="4" w:space="0" w:color="000000"/>
              <w:bottom w:val="single" w:sz="4" w:space="0" w:color="auto"/>
              <w:right w:val="nil"/>
            </w:tcBorders>
            <w:shd w:val="clear" w:color="000000" w:fill="FFFF00"/>
            <w:vAlign w:val="center"/>
            <w:hideMark/>
          </w:tcPr>
          <w:p w14:paraId="40D498C0" w14:textId="77777777" w:rsidR="001E774C" w:rsidRPr="00C82174" w:rsidRDefault="001E774C" w:rsidP="00B40C9A">
            <w:pPr>
              <w:ind w:firstLine="0"/>
              <w:rPr>
                <w:b/>
                <w:bCs/>
                <w:lang w:eastAsia="en-CA"/>
              </w:rPr>
            </w:pPr>
            <w:r w:rsidRPr="00C82174">
              <w:rPr>
                <w:b/>
                <w:bCs/>
                <w:lang w:eastAsia="en-CA"/>
              </w:rPr>
              <w:t>Places of worship</w:t>
            </w:r>
          </w:p>
        </w:tc>
        <w:tc>
          <w:tcPr>
            <w:tcW w:w="1260" w:type="dxa"/>
            <w:tcBorders>
              <w:top w:val="single" w:sz="4" w:space="0" w:color="000000"/>
              <w:left w:val="nil"/>
              <w:bottom w:val="single" w:sz="4" w:space="0" w:color="000000"/>
              <w:right w:val="nil"/>
            </w:tcBorders>
            <w:shd w:val="clear" w:color="000000" w:fill="E0ECF1"/>
            <w:vAlign w:val="center"/>
            <w:hideMark/>
          </w:tcPr>
          <w:p w14:paraId="36F4C528" w14:textId="77777777" w:rsidR="001E774C" w:rsidRPr="00C82174" w:rsidRDefault="001E774C" w:rsidP="00B40C9A">
            <w:pPr>
              <w:ind w:firstLine="0"/>
              <w:rPr>
                <w:b/>
                <w:bCs/>
                <w:lang w:eastAsia="en-CA"/>
              </w:rPr>
            </w:pPr>
            <w:r w:rsidRPr="00C82174">
              <w:rPr>
                <w:b/>
                <w:bCs/>
                <w:lang w:eastAsia="en-CA"/>
              </w:rPr>
              <w:t>42.9</w:t>
            </w:r>
          </w:p>
        </w:tc>
        <w:tc>
          <w:tcPr>
            <w:tcW w:w="1710" w:type="dxa"/>
            <w:tcBorders>
              <w:top w:val="single" w:sz="4" w:space="0" w:color="000000"/>
              <w:left w:val="nil"/>
              <w:bottom w:val="single" w:sz="4" w:space="0" w:color="000000"/>
              <w:right w:val="nil"/>
            </w:tcBorders>
            <w:shd w:val="clear" w:color="000000" w:fill="FFC539"/>
            <w:vAlign w:val="center"/>
            <w:hideMark/>
          </w:tcPr>
          <w:p w14:paraId="673C6D57" w14:textId="77777777" w:rsidR="001E774C" w:rsidRPr="00C82174" w:rsidRDefault="001E774C" w:rsidP="00F0381D">
            <w:pPr>
              <w:rPr>
                <w:b/>
                <w:bCs/>
                <w:lang w:eastAsia="en-CA"/>
              </w:rPr>
            </w:pPr>
            <w:r w:rsidRPr="00C82174">
              <w:rPr>
                <w:b/>
                <w:bCs/>
                <w:lang w:eastAsia="en-CA"/>
              </w:rPr>
              <w:t>20.6</w:t>
            </w:r>
          </w:p>
        </w:tc>
        <w:tc>
          <w:tcPr>
            <w:tcW w:w="1440" w:type="dxa"/>
            <w:tcBorders>
              <w:top w:val="single" w:sz="4" w:space="0" w:color="000000"/>
              <w:left w:val="nil"/>
              <w:bottom w:val="single" w:sz="4" w:space="0" w:color="000000"/>
              <w:right w:val="nil"/>
            </w:tcBorders>
            <w:shd w:val="clear" w:color="000000" w:fill="FFE0C1"/>
            <w:vAlign w:val="center"/>
            <w:hideMark/>
          </w:tcPr>
          <w:p w14:paraId="143B8C55" w14:textId="77777777" w:rsidR="001E774C" w:rsidRPr="00C82174" w:rsidRDefault="001E774C" w:rsidP="00F0381D">
            <w:pPr>
              <w:rPr>
                <w:b/>
                <w:bCs/>
                <w:lang w:eastAsia="en-CA"/>
              </w:rPr>
            </w:pPr>
            <w:r w:rsidRPr="00C82174">
              <w:rPr>
                <w:b/>
                <w:bCs/>
                <w:lang w:eastAsia="en-CA"/>
              </w:rPr>
              <w:t>15.6</w:t>
            </w:r>
          </w:p>
        </w:tc>
        <w:tc>
          <w:tcPr>
            <w:tcW w:w="1710" w:type="dxa"/>
            <w:tcBorders>
              <w:top w:val="single" w:sz="4" w:space="0" w:color="000000"/>
              <w:left w:val="nil"/>
              <w:bottom w:val="single" w:sz="4" w:space="0" w:color="000000"/>
              <w:right w:val="nil"/>
            </w:tcBorders>
            <w:shd w:val="clear" w:color="000000" w:fill="FFDBB6"/>
            <w:vAlign w:val="center"/>
            <w:hideMark/>
          </w:tcPr>
          <w:p w14:paraId="4B8357AB" w14:textId="77777777" w:rsidR="001E774C" w:rsidRPr="00C82174" w:rsidRDefault="001E774C" w:rsidP="00F0381D">
            <w:pPr>
              <w:rPr>
                <w:b/>
                <w:bCs/>
                <w:lang w:eastAsia="en-CA"/>
              </w:rPr>
            </w:pPr>
            <w:r w:rsidRPr="00C82174">
              <w:rPr>
                <w:b/>
                <w:bCs/>
                <w:lang w:eastAsia="en-CA"/>
              </w:rPr>
              <w:t>16.3</w:t>
            </w:r>
          </w:p>
        </w:tc>
        <w:tc>
          <w:tcPr>
            <w:tcW w:w="1800" w:type="dxa"/>
            <w:tcBorders>
              <w:top w:val="single" w:sz="4" w:space="0" w:color="000000"/>
              <w:left w:val="nil"/>
              <w:bottom w:val="single" w:sz="4" w:space="0" w:color="000000"/>
              <w:right w:val="single" w:sz="4" w:space="0" w:color="000000"/>
            </w:tcBorders>
            <w:shd w:val="clear" w:color="000000" w:fill="FFC000"/>
            <w:vAlign w:val="center"/>
            <w:hideMark/>
          </w:tcPr>
          <w:p w14:paraId="08C71D35" w14:textId="77777777" w:rsidR="001E774C" w:rsidRPr="00C82174" w:rsidRDefault="001E774C" w:rsidP="00F0381D">
            <w:pPr>
              <w:rPr>
                <w:b/>
                <w:bCs/>
                <w:lang w:eastAsia="en-CA"/>
              </w:rPr>
            </w:pPr>
            <w:r w:rsidRPr="00C82174">
              <w:rPr>
                <w:b/>
                <w:bCs/>
                <w:lang w:eastAsia="en-CA"/>
              </w:rPr>
              <w:t>25.2</w:t>
            </w:r>
          </w:p>
        </w:tc>
      </w:tr>
    </w:tbl>
    <w:p w14:paraId="41611597" w14:textId="77777777" w:rsidR="003C2587" w:rsidRDefault="003C2587">
      <w:pPr>
        <w:rPr>
          <w:lang w:eastAsia="en-CA"/>
        </w:rPr>
      </w:pPr>
      <w:r>
        <w:lastRenderedPageBreak/>
        <w:t>Table 6 summarizes how guide dog handlers’ exposure to different public settings intersects with access trouble, anticipatory fear of discrimination, and behavioural adaptation, consistent with the Anticipated Access Denial Framework (AADF) described in Figure 1. The first column groups settings by how frequently respondents reported visiting them, indicating environments that are part of routine life versus those encountered less often.</w:t>
      </w:r>
    </w:p>
    <w:p w14:paraId="47F815A3" w14:textId="77777777" w:rsidR="00C46C3A" w:rsidRDefault="00C46C3A">
      <w:pPr>
        <w:rPr>
          <w:lang w:eastAsia="en-CA"/>
        </w:rPr>
      </w:pPr>
      <w:r>
        <w:t xml:space="preserve">Subsequent columns report the proportion of respondents who experienced access difficulties, reported impacts on daily life, avoided environments due to fear of discrimination, and sometimes chose not to bring their guide dog. </w:t>
      </w:r>
      <w:r w:rsidRPr="00262CFB">
        <w:t>These indicators are categorized as minimal (fewer than 10% of respondents), moderate (10–20%), or severe (20% or more), enabling interpretation of severity independent of the heatmap’s visual formatting.</w:t>
      </w:r>
    </w:p>
    <w:p w14:paraId="52C49700" w14:textId="77777777" w:rsidR="003C2587" w:rsidRDefault="003C2587">
      <w:pPr>
        <w:rPr>
          <w:lang w:eastAsia="en-CA"/>
        </w:rPr>
      </w:pPr>
      <w:r>
        <w:t xml:space="preserve">Table 6 reflects a cascading pattern consistent with the Anticipated Access Denial Framework (AADF). Settings that are frequently used (e.g., shopping centres, grocery stores, restaurants, transportation terminals) are also those in which access trouble and downstream adaptive responses are </w:t>
      </w:r>
      <w:proofErr w:type="gramStart"/>
      <w:r>
        <w:t>most commonly reported</w:t>
      </w:r>
      <w:proofErr w:type="gramEnd"/>
      <w:r>
        <w:t xml:space="preserve">. In these higher-exposure environments, repeated </w:t>
      </w:r>
      <w:r>
        <w:lastRenderedPageBreak/>
        <w:t>access challenges are associated not only with immediate difficulty but also with anticipatory avoidance and decisions to limit guide dog use in certain contexts.</w:t>
      </w:r>
    </w:p>
    <w:p w14:paraId="3F08C212" w14:textId="18C61D23" w:rsidR="003B691F" w:rsidRPr="00576A58" w:rsidRDefault="00AC5D4C" w:rsidP="00262CFB">
      <w:pPr>
        <w:rPr>
          <w:lang w:eastAsia="en-CA"/>
        </w:rPr>
      </w:pPr>
      <w:r>
        <w:t>This pattern suggests that barriers in routinely encountered environments can have disproportionate downstream consequences. Rather than operating as isolated incidents, repeated access difficulties contribute to anticipated denial, protective behavioural adaptation, and constraints on autonomy and mobility options over time. Table 6 complements Figure 1 by illustrating how cumulative exposure to barriers can shift decisions about where to go and whether to bring a guide dog, even before an overt denial occurs.</w:t>
      </w:r>
    </w:p>
    <w:p w14:paraId="31B9B9D6" w14:textId="030890CE" w:rsidR="00DA1486" w:rsidRDefault="00DA1486" w:rsidP="00847760">
      <w:pPr>
        <w:pStyle w:val="Heading3"/>
        <w:numPr>
          <w:ilvl w:val="0"/>
          <w:numId w:val="0"/>
        </w:numPr>
        <w:ind w:left="720"/>
      </w:pPr>
      <w:bookmarkStart w:id="138" w:name="_Toc2094251543"/>
      <w:bookmarkStart w:id="139" w:name="_Toc1497180005"/>
      <w:bookmarkStart w:id="140" w:name="_Toc225879038"/>
      <w:bookmarkStart w:id="141" w:name="_Toc1763438823"/>
      <w:bookmarkStart w:id="142" w:name="_Toc1148339047"/>
      <w:bookmarkStart w:id="143" w:name="_Toc1251632224"/>
      <w:bookmarkStart w:id="144" w:name="_Toc1365632132"/>
      <w:bookmarkStart w:id="145" w:name="_Toc867559581"/>
      <w:bookmarkStart w:id="146" w:name="_Toc447375016"/>
      <w:bookmarkStart w:id="147" w:name="_Toc228294111"/>
      <w:bookmarkStart w:id="148" w:name="_Toc190767035"/>
      <w:bookmarkStart w:id="149" w:name="_Toc190767154"/>
      <w:bookmarkStart w:id="150" w:name="_Toc297006536"/>
      <w:bookmarkStart w:id="151" w:name="_Toc1139352284"/>
      <w:bookmarkStart w:id="152" w:name="_Toc872421714"/>
      <w:bookmarkStart w:id="153" w:name="_Toc1241701681"/>
      <w:bookmarkStart w:id="154" w:name="_Toc1995608258"/>
      <w:bookmarkStart w:id="155" w:name="_Toc1131271964"/>
      <w:bookmarkStart w:id="156" w:name="_Toc1993606593"/>
      <w:bookmarkStart w:id="157" w:name="_Toc2104218286"/>
      <w:bookmarkStart w:id="158" w:name="_Toc1872514635"/>
      <w:r>
        <w:t xml:space="preserve">Private Spaces </w:t>
      </w:r>
    </w:p>
    <w:p w14:paraId="705A72DA" w14:textId="590F5070" w:rsidR="00C62782" w:rsidRDefault="00BC0298" w:rsidP="00262CFB">
      <w:pPr>
        <w:rPr>
          <w:lang w:eastAsia="en-CA"/>
        </w:rPr>
      </w:pPr>
      <w:r>
        <w:t>Over one</w:t>
      </w:r>
      <w:r>
        <w:noBreakHyphen/>
        <w:t xml:space="preserve">third of respondents (38.5%) reported at least some difficulty with friends, family members, or co-workers understanding the rules, rights, and function of their guide dog, while the majority (61.5%) reported minimal or no difficulty. For most respondents, these misunderstandings had limited impact on daily life, with 71.6% indicating minimal or no impact; however, 28.4% reported that such challenges affected their daily lives to at least some extent. Despite this, a strong majority of respondents (85.3%) </w:t>
      </w:r>
      <w:r>
        <w:lastRenderedPageBreak/>
        <w:t>indicated that education on guide dogs directed toward friends, family members, and/or co-workers would be useful, compared to 14.7% who did not perceive such education as necessary.</w:t>
      </w:r>
    </w:p>
    <w:bookmarkEnd w:id="138"/>
    <w:bookmarkEnd w:id="139"/>
    <w:bookmarkEnd w:id="140"/>
    <w:bookmarkEnd w:id="141"/>
    <w:bookmarkEnd w:id="142"/>
    <w:bookmarkEnd w:id="143"/>
    <w:bookmarkEnd w:id="144"/>
    <w:bookmarkEnd w:id="145"/>
    <w:bookmarkEnd w:id="146"/>
    <w:bookmarkEnd w:id="147"/>
    <w:p w14:paraId="6D2E6AA6" w14:textId="77777777" w:rsidR="00E96A0B" w:rsidRDefault="00E96A0B" w:rsidP="00803D9D">
      <w:pPr>
        <w:pStyle w:val="Heading2"/>
        <w:rPr>
          <w:lang w:eastAsia="en-CA"/>
        </w:rPr>
      </w:pPr>
      <w:r>
        <w:t>Canadian public attitudes towards guide dogs by Ipsos Reid (2022)</w:t>
      </w:r>
    </w:p>
    <w:p w14:paraId="6675234F" w14:textId="77777777" w:rsidR="00A05C0F" w:rsidRDefault="00A05C0F">
      <w:pPr>
        <w:rPr>
          <w:lang w:eastAsia="en-CA"/>
        </w:rPr>
      </w:pPr>
      <w:bookmarkStart w:id="159" w:name="_Toc225874637"/>
      <w:r>
        <w:t>The Ipsos Reid Canadian public attitudes survey (August 2022; n=1,001) highlighted gaps in public awareness and limited direct contact with guide dog users. The sample was representative of Canadians across all regions, genders, age groups, and education levels, spanning from less than high school to post-secondary. Respondents also reflected the age groupings of Gen Z, Millennials, Gen X, and Baby Boomers. Levels of income, as well as households which did, and did not have, children were included.</w:t>
      </w:r>
    </w:p>
    <w:p w14:paraId="6152B0DA" w14:textId="77777777" w:rsidR="003C2587" w:rsidRDefault="003C2587">
      <w:pPr>
        <w:rPr>
          <w:lang w:eastAsia="en-CA"/>
        </w:rPr>
      </w:pPr>
      <w:bookmarkStart w:id="160" w:name="_Toc228387196"/>
      <w:bookmarkEnd w:id="159"/>
      <w:r>
        <w:t xml:space="preserve">The survey demonstrated that 39% of respondents believed that most people do not know how to effectively and respectfully assist and interact with people who use a guide dog. Less than half (49%) agreed that guide dogs are only used by people who are blind or have low vision, which points to a lack of awareness of who </w:t>
      </w:r>
      <w:proofErr w:type="gramStart"/>
      <w:r>
        <w:t>actually uses</w:t>
      </w:r>
      <w:proofErr w:type="gramEnd"/>
      <w:r>
        <w:t xml:space="preserve"> a guide dog. Similarly, 60% of respondents believe people who use a guide dog need them everywhere </w:t>
      </w:r>
      <w:r>
        <w:lastRenderedPageBreak/>
        <w:t>they go, which is far from the case. While 62% indicated that they are aware that all of Canada’s provinces and territories have legislation to protect access to public places for guide dogs and their handlers, only 42% of respondents understood that people who use guide dogs are still being denied access to public places.</w:t>
      </w:r>
    </w:p>
    <w:p w14:paraId="0CB8914F" w14:textId="374C0AD8" w:rsidR="00A65266" w:rsidRPr="00B40C9A" w:rsidRDefault="00A65266" w:rsidP="004A57D2">
      <w:pPr>
        <w:pStyle w:val="Caption"/>
        <w:rPr>
          <w:b w:val="0"/>
          <w:bCs/>
        </w:rPr>
      </w:pPr>
      <w:r w:rsidRPr="00B40C9A">
        <w:rPr>
          <w:i w:val="0"/>
          <w:iCs w:val="0"/>
        </w:rPr>
        <w:t xml:space="preserve">Table </w:t>
      </w:r>
      <w:r w:rsidRPr="00B40C9A">
        <w:rPr>
          <w:i w:val="0"/>
          <w:iCs w:val="0"/>
        </w:rPr>
        <w:fldChar w:fldCharType="begin"/>
      </w:r>
      <w:r w:rsidRPr="00B40C9A">
        <w:rPr>
          <w:i w:val="0"/>
          <w:iCs w:val="0"/>
        </w:rPr>
        <w:instrText xml:space="preserve"> SEQ Table \* ARABIC </w:instrText>
      </w:r>
      <w:r w:rsidRPr="00B40C9A">
        <w:rPr>
          <w:i w:val="0"/>
          <w:iCs w:val="0"/>
        </w:rPr>
        <w:fldChar w:fldCharType="separate"/>
      </w:r>
      <w:r w:rsidR="00C06BF6">
        <w:rPr>
          <w:i w:val="0"/>
          <w:iCs w:val="0"/>
          <w:noProof/>
        </w:rPr>
        <w:t>7</w:t>
      </w:r>
      <w:r w:rsidRPr="00B40C9A">
        <w:rPr>
          <w:i w:val="0"/>
          <w:iCs w:val="0"/>
        </w:rPr>
        <w:fldChar w:fldCharType="end"/>
      </w:r>
      <w:r>
        <w:t xml:space="preserve"> </w:t>
      </w:r>
      <w:r>
        <w:br/>
      </w:r>
      <w:r w:rsidRPr="00B40C9A">
        <w:rPr>
          <w:b w:val="0"/>
          <w:bCs/>
        </w:rPr>
        <w:t>Canadian Attitudes Toward Guide Dogs from the Ipsos Reid (n = 1,001)</w:t>
      </w:r>
      <w:bookmarkEnd w:id="160"/>
    </w:p>
    <w:tbl>
      <w:tblPr>
        <w:tblStyle w:val="ListTable3"/>
        <w:tblW w:w="0" w:type="auto"/>
        <w:tblLook w:val="04A0" w:firstRow="1" w:lastRow="0" w:firstColumn="1" w:lastColumn="0" w:noHBand="0" w:noVBand="1"/>
      </w:tblPr>
      <w:tblGrid>
        <w:gridCol w:w="2462"/>
        <w:gridCol w:w="1876"/>
        <w:gridCol w:w="5238"/>
      </w:tblGrid>
      <w:tr w:rsidR="00A65266" w:rsidRPr="002A251C" w14:paraId="3B593EBE" w14:textId="77777777" w:rsidTr="00FF69C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1FAB2E09" w14:textId="77777777" w:rsidR="00A65266" w:rsidRPr="00330127" w:rsidRDefault="00A65266" w:rsidP="00B40C9A">
            <w:pPr>
              <w:ind w:firstLine="0"/>
              <w:rPr>
                <w:lang w:eastAsia="en-CA"/>
              </w:rPr>
            </w:pPr>
            <w:r w:rsidRPr="00330127">
              <w:rPr>
                <w:lang w:eastAsia="en-CA"/>
              </w:rPr>
              <w:t>Survey Construct</w:t>
            </w:r>
          </w:p>
        </w:tc>
        <w:tc>
          <w:tcPr>
            <w:tcW w:w="1876" w:type="dxa"/>
          </w:tcPr>
          <w:p w14:paraId="0511DACD" w14:textId="77777777" w:rsidR="00A65266" w:rsidRPr="00330127" w:rsidRDefault="00A65266" w:rsidP="00B40C9A">
            <w:pPr>
              <w:ind w:firstLine="0"/>
              <w:cnfStyle w:val="100000000000" w:firstRow="1" w:lastRow="0" w:firstColumn="0" w:lastColumn="0" w:oddVBand="0" w:evenVBand="0" w:oddHBand="0" w:evenHBand="0" w:firstRowFirstColumn="0" w:firstRowLastColumn="0" w:lastRowFirstColumn="0" w:lastRowLastColumn="0"/>
              <w:rPr>
                <w:lang w:eastAsia="en-CA"/>
              </w:rPr>
            </w:pPr>
            <w:r w:rsidRPr="00330127">
              <w:rPr>
                <w:lang w:eastAsia="en-CA"/>
              </w:rPr>
              <w:t>Percentage (%)</w:t>
            </w:r>
          </w:p>
        </w:tc>
        <w:tc>
          <w:tcPr>
            <w:tcW w:w="5238" w:type="dxa"/>
            <w:hideMark/>
          </w:tcPr>
          <w:p w14:paraId="1903A18C" w14:textId="77777777" w:rsidR="00A65266" w:rsidRPr="00330127" w:rsidRDefault="00A65266" w:rsidP="00B40C9A">
            <w:pPr>
              <w:ind w:firstLine="0"/>
              <w:cnfStyle w:val="100000000000" w:firstRow="1" w:lastRow="0" w:firstColumn="0" w:lastColumn="0" w:oddVBand="0" w:evenVBand="0" w:oddHBand="0" w:evenHBand="0" w:firstRowFirstColumn="0" w:firstRowLastColumn="0" w:lastRowFirstColumn="0" w:lastRowLastColumn="0"/>
              <w:rPr>
                <w:lang w:eastAsia="en-CA"/>
              </w:rPr>
            </w:pPr>
            <w:r w:rsidRPr="00330127">
              <w:rPr>
                <w:lang w:eastAsia="en-CA"/>
              </w:rPr>
              <w:t>Interpretation of result</w:t>
            </w:r>
          </w:p>
        </w:tc>
      </w:tr>
      <w:tr w:rsidR="00A65266" w:rsidRPr="002A251C" w14:paraId="4F0A2E7A"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8D26B" w14:textId="77777777" w:rsidR="00A65266" w:rsidRPr="002A251C" w:rsidRDefault="00A65266" w:rsidP="00B40C9A">
            <w:pPr>
              <w:ind w:firstLine="0"/>
              <w:rPr>
                <w:lang w:eastAsia="en-CA"/>
              </w:rPr>
            </w:pPr>
            <w:r w:rsidRPr="002A251C">
              <w:rPr>
                <w:lang w:eastAsia="en-CA"/>
              </w:rPr>
              <w:t>General public knowledge</w:t>
            </w:r>
          </w:p>
        </w:tc>
        <w:tc>
          <w:tcPr>
            <w:tcW w:w="1876" w:type="dxa"/>
          </w:tcPr>
          <w:p w14:paraId="583D3314"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t>39%</w:t>
            </w:r>
          </w:p>
        </w:tc>
        <w:tc>
          <w:tcPr>
            <w:tcW w:w="5238" w:type="dxa"/>
            <w:hideMark/>
          </w:tcPr>
          <w:p w14:paraId="3EDD68CC"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Believe most people do not know how to effectively and respectfully assist and interact with people who use a guide dog</w:t>
            </w:r>
          </w:p>
        </w:tc>
      </w:tr>
      <w:tr w:rsidR="00A65266" w:rsidRPr="002A251C" w14:paraId="1E92133A" w14:textId="77777777" w:rsidTr="00FF69CF">
        <w:tc>
          <w:tcPr>
            <w:cnfStyle w:val="001000000000" w:firstRow="0" w:lastRow="0" w:firstColumn="1" w:lastColumn="0" w:oddVBand="0" w:evenVBand="0" w:oddHBand="0" w:evenHBand="0" w:firstRowFirstColumn="0" w:firstRowLastColumn="0" w:lastRowFirstColumn="0" w:lastRowLastColumn="0"/>
            <w:tcW w:w="0" w:type="auto"/>
            <w:hideMark/>
          </w:tcPr>
          <w:p w14:paraId="54A5EC64" w14:textId="77777777" w:rsidR="00A65266" w:rsidRPr="002A251C" w:rsidRDefault="00A65266" w:rsidP="00B40C9A">
            <w:pPr>
              <w:ind w:firstLine="0"/>
              <w:rPr>
                <w:lang w:eastAsia="en-CA"/>
              </w:rPr>
            </w:pPr>
            <w:r w:rsidRPr="002A251C">
              <w:rPr>
                <w:lang w:eastAsia="en-CA"/>
              </w:rPr>
              <w:t>Understanding of guide dog users</w:t>
            </w:r>
          </w:p>
        </w:tc>
        <w:tc>
          <w:tcPr>
            <w:tcW w:w="1876" w:type="dxa"/>
          </w:tcPr>
          <w:p w14:paraId="7C6A8BA5" w14:textId="77777777" w:rsidR="00A65266" w:rsidRPr="002A251C" w:rsidRDefault="00A65266" w:rsidP="00F0381D">
            <w:pPr>
              <w:cnfStyle w:val="000000000000" w:firstRow="0" w:lastRow="0" w:firstColumn="0" w:lastColumn="0" w:oddVBand="0" w:evenVBand="0" w:oddHBand="0" w:evenHBand="0" w:firstRowFirstColumn="0" w:firstRowLastColumn="0" w:lastRowFirstColumn="0" w:lastRowLastColumn="0"/>
              <w:rPr>
                <w:lang w:eastAsia="en-CA"/>
              </w:rPr>
            </w:pPr>
            <w:r w:rsidRPr="002A251C">
              <w:rPr>
                <w:lang w:eastAsia="en-CA"/>
              </w:rPr>
              <w:t>49%</w:t>
            </w:r>
          </w:p>
        </w:tc>
        <w:tc>
          <w:tcPr>
            <w:tcW w:w="5238" w:type="dxa"/>
            <w:hideMark/>
          </w:tcPr>
          <w:p w14:paraId="1E7C388C" w14:textId="77777777" w:rsidR="00A65266" w:rsidRPr="00330127" w:rsidRDefault="00A65266" w:rsidP="00B40C9A">
            <w:pPr>
              <w:ind w:hanging="21"/>
              <w:cnfStyle w:val="000000000000" w:firstRow="0" w:lastRow="0" w:firstColumn="0" w:lastColumn="0" w:oddVBand="0" w:evenVBand="0" w:oddHBand="0" w:evenHBand="0" w:firstRowFirstColumn="0" w:firstRowLastColumn="0" w:lastRowFirstColumn="0" w:lastRowLastColumn="0"/>
              <w:rPr>
                <w:lang w:eastAsia="en-CA"/>
              </w:rPr>
            </w:pPr>
            <w:r w:rsidRPr="00330127">
              <w:rPr>
                <w:lang w:eastAsia="en-CA"/>
              </w:rPr>
              <w:t>Agree that guide dogs are only used by people who are blind or have low vision</w:t>
            </w:r>
          </w:p>
        </w:tc>
      </w:tr>
      <w:tr w:rsidR="00A65266" w:rsidRPr="002A251C" w14:paraId="4FE8C860"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F84CAB" w14:textId="77777777" w:rsidR="00A65266" w:rsidRPr="002A251C" w:rsidRDefault="00A65266" w:rsidP="00B40C9A">
            <w:pPr>
              <w:ind w:firstLine="0"/>
              <w:rPr>
                <w:lang w:eastAsia="en-CA"/>
              </w:rPr>
            </w:pPr>
            <w:r w:rsidRPr="002A251C">
              <w:rPr>
                <w:lang w:eastAsia="en-CA"/>
              </w:rPr>
              <w:t>Understanding of guide dog need</w:t>
            </w:r>
          </w:p>
        </w:tc>
        <w:tc>
          <w:tcPr>
            <w:tcW w:w="1876" w:type="dxa"/>
          </w:tcPr>
          <w:p w14:paraId="24A22998"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t>60%</w:t>
            </w:r>
          </w:p>
        </w:tc>
        <w:tc>
          <w:tcPr>
            <w:tcW w:w="5238" w:type="dxa"/>
            <w:hideMark/>
          </w:tcPr>
          <w:p w14:paraId="7C226E27"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Believe people who use guide dogs need them everywhere they go</w:t>
            </w:r>
          </w:p>
        </w:tc>
      </w:tr>
      <w:tr w:rsidR="00A65266" w:rsidRPr="002A251C" w14:paraId="5CD605F0" w14:textId="77777777" w:rsidTr="00FF69CF">
        <w:tc>
          <w:tcPr>
            <w:cnfStyle w:val="001000000000" w:firstRow="0" w:lastRow="0" w:firstColumn="1" w:lastColumn="0" w:oddVBand="0" w:evenVBand="0" w:oddHBand="0" w:evenHBand="0" w:firstRowFirstColumn="0" w:firstRowLastColumn="0" w:lastRowFirstColumn="0" w:lastRowLastColumn="0"/>
            <w:tcW w:w="0" w:type="auto"/>
            <w:hideMark/>
          </w:tcPr>
          <w:p w14:paraId="305BEE9B" w14:textId="77777777" w:rsidR="00A65266" w:rsidRPr="002A251C" w:rsidRDefault="00A65266" w:rsidP="00B40C9A">
            <w:pPr>
              <w:ind w:firstLine="0"/>
              <w:rPr>
                <w:lang w:eastAsia="en-CA"/>
              </w:rPr>
            </w:pPr>
            <w:r w:rsidRPr="002A251C">
              <w:rPr>
                <w:lang w:eastAsia="en-CA"/>
              </w:rPr>
              <w:t xml:space="preserve">Awareness of </w:t>
            </w:r>
            <w:r w:rsidRPr="002A251C">
              <w:rPr>
                <w:lang w:eastAsia="en-CA"/>
              </w:rPr>
              <w:lastRenderedPageBreak/>
              <w:t>legislation</w:t>
            </w:r>
          </w:p>
        </w:tc>
        <w:tc>
          <w:tcPr>
            <w:tcW w:w="1876" w:type="dxa"/>
          </w:tcPr>
          <w:p w14:paraId="51DD8115" w14:textId="77777777" w:rsidR="00A65266" w:rsidRPr="002A251C" w:rsidRDefault="00A65266" w:rsidP="00F0381D">
            <w:pPr>
              <w:cnfStyle w:val="000000000000" w:firstRow="0" w:lastRow="0" w:firstColumn="0" w:lastColumn="0" w:oddVBand="0" w:evenVBand="0" w:oddHBand="0" w:evenHBand="0" w:firstRowFirstColumn="0" w:firstRowLastColumn="0" w:lastRowFirstColumn="0" w:lastRowLastColumn="0"/>
              <w:rPr>
                <w:lang w:eastAsia="en-CA"/>
              </w:rPr>
            </w:pPr>
            <w:r w:rsidRPr="002A251C">
              <w:rPr>
                <w:lang w:eastAsia="en-CA"/>
              </w:rPr>
              <w:lastRenderedPageBreak/>
              <w:t>62%</w:t>
            </w:r>
          </w:p>
        </w:tc>
        <w:tc>
          <w:tcPr>
            <w:tcW w:w="5238" w:type="dxa"/>
            <w:hideMark/>
          </w:tcPr>
          <w:p w14:paraId="39ADD520" w14:textId="77777777" w:rsidR="00A65266" w:rsidRPr="00330127" w:rsidRDefault="00A65266" w:rsidP="00B40C9A">
            <w:pPr>
              <w:ind w:hanging="21"/>
              <w:cnfStyle w:val="000000000000" w:firstRow="0" w:lastRow="0" w:firstColumn="0" w:lastColumn="0" w:oddVBand="0" w:evenVBand="0" w:oddHBand="0" w:evenHBand="0" w:firstRowFirstColumn="0" w:firstRowLastColumn="0" w:lastRowFirstColumn="0" w:lastRowLastColumn="0"/>
              <w:rPr>
                <w:lang w:eastAsia="en-CA"/>
              </w:rPr>
            </w:pPr>
            <w:r w:rsidRPr="00330127">
              <w:rPr>
                <w:lang w:eastAsia="en-CA"/>
              </w:rPr>
              <w:t xml:space="preserve">Aware that Canada’s provinces and </w:t>
            </w:r>
            <w:r w:rsidRPr="00330127">
              <w:rPr>
                <w:lang w:eastAsia="en-CA"/>
              </w:rPr>
              <w:lastRenderedPageBreak/>
              <w:t>territories have legislation protecting public access for guide dogs</w:t>
            </w:r>
          </w:p>
        </w:tc>
      </w:tr>
      <w:tr w:rsidR="00A65266" w:rsidRPr="002A251C" w14:paraId="0BA39345"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AEB5CF" w14:textId="77777777" w:rsidR="00A65266" w:rsidRPr="002A251C" w:rsidRDefault="00A65266" w:rsidP="00B40C9A">
            <w:pPr>
              <w:ind w:firstLine="0"/>
              <w:rPr>
                <w:lang w:eastAsia="en-CA"/>
              </w:rPr>
            </w:pPr>
            <w:r w:rsidRPr="002A251C">
              <w:rPr>
                <w:lang w:eastAsia="en-CA"/>
              </w:rPr>
              <w:lastRenderedPageBreak/>
              <w:t>Awareness of access denials</w:t>
            </w:r>
          </w:p>
        </w:tc>
        <w:tc>
          <w:tcPr>
            <w:tcW w:w="1876" w:type="dxa"/>
          </w:tcPr>
          <w:p w14:paraId="5E819612"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t>42%</w:t>
            </w:r>
          </w:p>
        </w:tc>
        <w:tc>
          <w:tcPr>
            <w:tcW w:w="5238" w:type="dxa"/>
            <w:hideMark/>
          </w:tcPr>
          <w:p w14:paraId="2C672282"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Understand that people who use guide dogs are still being denied access to public places</w:t>
            </w:r>
          </w:p>
        </w:tc>
      </w:tr>
      <w:tr w:rsidR="00A65266" w:rsidRPr="002A251C" w14:paraId="63EDF4C1" w14:textId="77777777" w:rsidTr="00FF69CF">
        <w:tc>
          <w:tcPr>
            <w:cnfStyle w:val="001000000000" w:firstRow="0" w:lastRow="0" w:firstColumn="1" w:lastColumn="0" w:oddVBand="0" w:evenVBand="0" w:oddHBand="0" w:evenHBand="0" w:firstRowFirstColumn="0" w:firstRowLastColumn="0" w:lastRowFirstColumn="0" w:lastRowLastColumn="0"/>
            <w:tcW w:w="0" w:type="auto"/>
            <w:hideMark/>
          </w:tcPr>
          <w:p w14:paraId="1D5580D4" w14:textId="77777777" w:rsidR="00A65266" w:rsidRPr="002A251C" w:rsidRDefault="00A65266" w:rsidP="00B40C9A">
            <w:pPr>
              <w:ind w:firstLine="0"/>
              <w:rPr>
                <w:lang w:eastAsia="en-CA"/>
              </w:rPr>
            </w:pPr>
            <w:r w:rsidRPr="002A251C">
              <w:rPr>
                <w:lang w:eastAsia="en-CA"/>
              </w:rPr>
              <w:t>Distinction between animal types</w:t>
            </w:r>
          </w:p>
        </w:tc>
        <w:tc>
          <w:tcPr>
            <w:tcW w:w="1876" w:type="dxa"/>
          </w:tcPr>
          <w:p w14:paraId="743C18C8" w14:textId="77777777" w:rsidR="00A65266" w:rsidRPr="002A251C" w:rsidRDefault="00A65266" w:rsidP="00F0381D">
            <w:pPr>
              <w:cnfStyle w:val="000000000000" w:firstRow="0" w:lastRow="0" w:firstColumn="0" w:lastColumn="0" w:oddVBand="0" w:evenVBand="0" w:oddHBand="0" w:evenHBand="0" w:firstRowFirstColumn="0" w:firstRowLastColumn="0" w:lastRowFirstColumn="0" w:lastRowLastColumn="0"/>
              <w:rPr>
                <w:lang w:eastAsia="en-CA"/>
              </w:rPr>
            </w:pPr>
            <w:r w:rsidRPr="002A251C">
              <w:rPr>
                <w:lang w:eastAsia="en-CA"/>
              </w:rPr>
              <w:t>55%</w:t>
            </w:r>
          </w:p>
        </w:tc>
        <w:tc>
          <w:tcPr>
            <w:tcW w:w="5238" w:type="dxa"/>
            <w:hideMark/>
          </w:tcPr>
          <w:p w14:paraId="408FB3B5" w14:textId="77777777" w:rsidR="00A65266" w:rsidRPr="00330127" w:rsidRDefault="00A65266" w:rsidP="00B40C9A">
            <w:pPr>
              <w:ind w:hanging="21"/>
              <w:cnfStyle w:val="000000000000" w:firstRow="0" w:lastRow="0" w:firstColumn="0" w:lastColumn="0" w:oddVBand="0" w:evenVBand="0" w:oddHBand="0" w:evenHBand="0" w:firstRowFirstColumn="0" w:firstRowLastColumn="0" w:lastRowFirstColumn="0" w:lastRowLastColumn="0"/>
              <w:rPr>
                <w:lang w:eastAsia="en-CA"/>
              </w:rPr>
            </w:pPr>
            <w:r w:rsidRPr="00330127">
              <w:rPr>
                <w:lang w:eastAsia="en-CA"/>
              </w:rPr>
              <w:t>Aware of the difference between a guide dog, service dog, and emotional support animal</w:t>
            </w:r>
          </w:p>
        </w:tc>
      </w:tr>
      <w:tr w:rsidR="00A65266" w:rsidRPr="002A251C" w14:paraId="7F9B067D"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D36D53" w14:textId="77777777" w:rsidR="00A65266" w:rsidRPr="002A251C" w:rsidRDefault="00A65266" w:rsidP="00B40C9A">
            <w:pPr>
              <w:ind w:firstLine="0"/>
              <w:rPr>
                <w:lang w:eastAsia="en-CA"/>
              </w:rPr>
            </w:pPr>
            <w:r w:rsidRPr="002A251C">
              <w:rPr>
                <w:lang w:eastAsia="en-CA"/>
              </w:rPr>
              <w:t>Social proximity</w:t>
            </w:r>
          </w:p>
        </w:tc>
        <w:tc>
          <w:tcPr>
            <w:tcW w:w="1876" w:type="dxa"/>
          </w:tcPr>
          <w:p w14:paraId="5C15E17E"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t>43%</w:t>
            </w:r>
          </w:p>
        </w:tc>
        <w:tc>
          <w:tcPr>
            <w:tcW w:w="5238" w:type="dxa"/>
            <w:hideMark/>
          </w:tcPr>
          <w:p w14:paraId="4E787E88"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Have never met a person who uses a guide dog</w:t>
            </w:r>
          </w:p>
        </w:tc>
      </w:tr>
      <w:tr w:rsidR="00A65266" w:rsidRPr="002A251C" w14:paraId="2ABE6FD5" w14:textId="77777777" w:rsidTr="00FF69CF">
        <w:tc>
          <w:tcPr>
            <w:cnfStyle w:val="001000000000" w:firstRow="0" w:lastRow="0" w:firstColumn="1" w:lastColumn="0" w:oddVBand="0" w:evenVBand="0" w:oddHBand="0" w:evenHBand="0" w:firstRowFirstColumn="0" w:firstRowLastColumn="0" w:lastRowFirstColumn="0" w:lastRowLastColumn="0"/>
            <w:tcW w:w="0" w:type="auto"/>
            <w:hideMark/>
          </w:tcPr>
          <w:p w14:paraId="7954D681" w14:textId="77777777" w:rsidR="00A65266" w:rsidRPr="002A251C" w:rsidRDefault="00A65266" w:rsidP="00B40C9A">
            <w:pPr>
              <w:ind w:firstLine="0"/>
              <w:rPr>
                <w:lang w:eastAsia="en-CA"/>
              </w:rPr>
            </w:pPr>
            <w:r w:rsidRPr="002A251C">
              <w:rPr>
                <w:lang w:eastAsia="en-CA"/>
              </w:rPr>
              <w:t>Social interaction</w:t>
            </w:r>
          </w:p>
        </w:tc>
        <w:tc>
          <w:tcPr>
            <w:tcW w:w="1876" w:type="dxa"/>
          </w:tcPr>
          <w:p w14:paraId="46B5FEAF" w14:textId="77777777" w:rsidR="00A65266" w:rsidRPr="002A251C" w:rsidRDefault="00A65266" w:rsidP="00F0381D">
            <w:pPr>
              <w:cnfStyle w:val="000000000000" w:firstRow="0" w:lastRow="0" w:firstColumn="0" w:lastColumn="0" w:oddVBand="0" w:evenVBand="0" w:oddHBand="0" w:evenHBand="0" w:firstRowFirstColumn="0" w:firstRowLastColumn="0" w:lastRowFirstColumn="0" w:lastRowLastColumn="0"/>
              <w:rPr>
                <w:lang w:eastAsia="en-CA"/>
              </w:rPr>
            </w:pPr>
            <w:r w:rsidRPr="002A251C">
              <w:rPr>
                <w:lang w:eastAsia="en-CA"/>
              </w:rPr>
              <w:t>55%</w:t>
            </w:r>
          </w:p>
        </w:tc>
        <w:tc>
          <w:tcPr>
            <w:tcW w:w="5238" w:type="dxa"/>
            <w:hideMark/>
          </w:tcPr>
          <w:p w14:paraId="4EF86819" w14:textId="77777777" w:rsidR="00A65266" w:rsidRPr="00330127" w:rsidRDefault="00A65266" w:rsidP="00B40C9A">
            <w:pPr>
              <w:ind w:hanging="21"/>
              <w:cnfStyle w:val="000000000000" w:firstRow="0" w:lastRow="0" w:firstColumn="0" w:lastColumn="0" w:oddVBand="0" w:evenVBand="0" w:oddHBand="0" w:evenHBand="0" w:firstRowFirstColumn="0" w:firstRowLastColumn="0" w:lastRowFirstColumn="0" w:lastRowLastColumn="0"/>
              <w:rPr>
                <w:lang w:eastAsia="en-CA"/>
              </w:rPr>
            </w:pPr>
            <w:r w:rsidRPr="00330127">
              <w:rPr>
                <w:lang w:eastAsia="en-CA"/>
              </w:rPr>
              <w:t>Have not had even brief conversations with people who use a guide dog</w:t>
            </w:r>
          </w:p>
        </w:tc>
      </w:tr>
      <w:tr w:rsidR="00A65266" w:rsidRPr="002A251C" w14:paraId="7947CDCC"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D515AB" w14:textId="77777777" w:rsidR="00A65266" w:rsidRPr="002A251C" w:rsidRDefault="00A65266" w:rsidP="00B40C9A">
            <w:pPr>
              <w:ind w:firstLine="0"/>
              <w:rPr>
                <w:lang w:eastAsia="en-CA"/>
              </w:rPr>
            </w:pPr>
            <w:r w:rsidRPr="002A251C">
              <w:rPr>
                <w:lang w:eastAsia="en-CA"/>
              </w:rPr>
              <w:t>Work-related contact</w:t>
            </w:r>
          </w:p>
        </w:tc>
        <w:tc>
          <w:tcPr>
            <w:tcW w:w="1876" w:type="dxa"/>
          </w:tcPr>
          <w:p w14:paraId="17AD326A"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t>72%</w:t>
            </w:r>
          </w:p>
        </w:tc>
        <w:tc>
          <w:tcPr>
            <w:tcW w:w="5238" w:type="dxa"/>
            <w:hideMark/>
          </w:tcPr>
          <w:p w14:paraId="6A73D88F"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Have not worked with a client, student, or patient who uses a guide dog</w:t>
            </w:r>
          </w:p>
        </w:tc>
      </w:tr>
      <w:tr w:rsidR="00A65266" w:rsidRPr="002A251C" w14:paraId="1615E482" w14:textId="77777777" w:rsidTr="00FF69CF">
        <w:tc>
          <w:tcPr>
            <w:cnfStyle w:val="001000000000" w:firstRow="0" w:lastRow="0" w:firstColumn="1" w:lastColumn="0" w:oddVBand="0" w:evenVBand="0" w:oddHBand="0" w:evenHBand="0" w:firstRowFirstColumn="0" w:firstRowLastColumn="0" w:lastRowFirstColumn="0" w:lastRowLastColumn="0"/>
            <w:tcW w:w="0" w:type="auto"/>
            <w:hideMark/>
          </w:tcPr>
          <w:p w14:paraId="52AF01DF" w14:textId="77777777" w:rsidR="00A65266" w:rsidRPr="002A251C" w:rsidRDefault="00A65266" w:rsidP="00B40C9A">
            <w:pPr>
              <w:ind w:firstLine="0"/>
              <w:rPr>
                <w:lang w:eastAsia="en-CA"/>
              </w:rPr>
            </w:pPr>
            <w:r w:rsidRPr="002A251C">
              <w:rPr>
                <w:lang w:eastAsia="en-CA"/>
              </w:rPr>
              <w:t>Workplace contact</w:t>
            </w:r>
          </w:p>
        </w:tc>
        <w:tc>
          <w:tcPr>
            <w:tcW w:w="1876" w:type="dxa"/>
          </w:tcPr>
          <w:p w14:paraId="1EE79E1B" w14:textId="77777777" w:rsidR="00A65266" w:rsidRPr="002A251C" w:rsidRDefault="00A65266" w:rsidP="00F0381D">
            <w:pPr>
              <w:cnfStyle w:val="000000000000" w:firstRow="0" w:lastRow="0" w:firstColumn="0" w:lastColumn="0" w:oddVBand="0" w:evenVBand="0" w:oddHBand="0" w:evenHBand="0" w:firstRowFirstColumn="0" w:firstRowLastColumn="0" w:lastRowFirstColumn="0" w:lastRowLastColumn="0"/>
              <w:rPr>
                <w:lang w:eastAsia="en-CA"/>
              </w:rPr>
            </w:pPr>
            <w:r w:rsidRPr="002A251C">
              <w:rPr>
                <w:lang w:eastAsia="en-CA"/>
              </w:rPr>
              <w:t>75%</w:t>
            </w:r>
          </w:p>
        </w:tc>
        <w:tc>
          <w:tcPr>
            <w:tcW w:w="5238" w:type="dxa"/>
            <w:hideMark/>
          </w:tcPr>
          <w:p w14:paraId="719AC84B" w14:textId="77777777" w:rsidR="00BC0298" w:rsidRDefault="00BC0298">
            <w:pPr>
              <w:cnfStyle w:val="000000000000" w:firstRow="0" w:lastRow="0" w:firstColumn="0" w:lastColumn="0" w:oddVBand="0" w:evenVBand="0" w:oddHBand="0" w:evenHBand="0" w:firstRowFirstColumn="0" w:firstRowLastColumn="0" w:lastRowFirstColumn="0" w:lastRowLastColumn="0"/>
              <w:rPr>
                <w:lang w:eastAsia="en-CA"/>
              </w:rPr>
            </w:pPr>
            <w:r>
              <w:t>Have not worked with a co-worker who uses a guide dog</w:t>
            </w:r>
          </w:p>
          <w:p w14:paraId="36A94056" w14:textId="7E2BCE6B" w:rsidR="00A65266" w:rsidRPr="00330127" w:rsidRDefault="00A65266" w:rsidP="00B40C9A">
            <w:pPr>
              <w:ind w:hanging="21"/>
              <w:cnfStyle w:val="000000000000" w:firstRow="0" w:lastRow="0" w:firstColumn="0" w:lastColumn="0" w:oddVBand="0" w:evenVBand="0" w:oddHBand="0" w:evenHBand="0" w:firstRowFirstColumn="0" w:firstRowLastColumn="0" w:lastRowFirstColumn="0" w:lastRowLastColumn="0"/>
              <w:rPr>
                <w:lang w:eastAsia="en-CA"/>
              </w:rPr>
            </w:pPr>
          </w:p>
        </w:tc>
      </w:tr>
      <w:tr w:rsidR="00A65266" w:rsidRPr="002A251C" w14:paraId="28276ED0" w14:textId="77777777" w:rsidTr="00FF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C0AB8" w14:textId="77777777" w:rsidR="00A65266" w:rsidRPr="002A251C" w:rsidRDefault="00A65266" w:rsidP="00B40C9A">
            <w:pPr>
              <w:ind w:firstLine="0"/>
              <w:rPr>
                <w:lang w:eastAsia="en-CA"/>
              </w:rPr>
            </w:pPr>
            <w:r w:rsidRPr="002A251C">
              <w:rPr>
                <w:lang w:eastAsia="en-CA"/>
              </w:rPr>
              <w:t xml:space="preserve">Symbolism of </w:t>
            </w:r>
            <w:r w:rsidRPr="002A251C">
              <w:rPr>
                <w:lang w:eastAsia="en-CA"/>
              </w:rPr>
              <w:lastRenderedPageBreak/>
              <w:t>guide dogs (Gen Z)</w:t>
            </w:r>
          </w:p>
        </w:tc>
        <w:tc>
          <w:tcPr>
            <w:tcW w:w="1876" w:type="dxa"/>
          </w:tcPr>
          <w:p w14:paraId="5A641739" w14:textId="77777777" w:rsidR="00A65266" w:rsidRPr="002A251C" w:rsidRDefault="00A65266" w:rsidP="00F0381D">
            <w:pPr>
              <w:cnfStyle w:val="000000100000" w:firstRow="0" w:lastRow="0" w:firstColumn="0" w:lastColumn="0" w:oddVBand="0" w:evenVBand="0" w:oddHBand="1" w:evenHBand="0" w:firstRowFirstColumn="0" w:firstRowLastColumn="0" w:lastRowFirstColumn="0" w:lastRowLastColumn="0"/>
              <w:rPr>
                <w:lang w:eastAsia="en-CA"/>
              </w:rPr>
            </w:pPr>
            <w:r w:rsidRPr="002A251C">
              <w:rPr>
                <w:lang w:eastAsia="en-CA"/>
              </w:rPr>
              <w:lastRenderedPageBreak/>
              <w:t>69%</w:t>
            </w:r>
          </w:p>
        </w:tc>
        <w:tc>
          <w:tcPr>
            <w:tcW w:w="5238" w:type="dxa"/>
            <w:hideMark/>
          </w:tcPr>
          <w:p w14:paraId="4CDBD281" w14:textId="77777777" w:rsidR="00A65266" w:rsidRPr="00330127" w:rsidRDefault="00A65266" w:rsidP="00B40C9A">
            <w:pPr>
              <w:ind w:hanging="21"/>
              <w:cnfStyle w:val="000000100000" w:firstRow="0" w:lastRow="0" w:firstColumn="0" w:lastColumn="0" w:oddVBand="0" w:evenVBand="0" w:oddHBand="1" w:evenHBand="0" w:firstRowFirstColumn="0" w:firstRowLastColumn="0" w:lastRowFirstColumn="0" w:lastRowLastColumn="0"/>
              <w:rPr>
                <w:lang w:eastAsia="en-CA"/>
              </w:rPr>
            </w:pPr>
            <w:r w:rsidRPr="00330127">
              <w:rPr>
                <w:lang w:eastAsia="en-CA"/>
              </w:rPr>
              <w:t xml:space="preserve">Believe a guide dog is a symbol of </w:t>
            </w:r>
            <w:r w:rsidRPr="00330127">
              <w:rPr>
                <w:lang w:eastAsia="en-CA"/>
              </w:rPr>
              <w:lastRenderedPageBreak/>
              <w:t>independence and empowerment</w:t>
            </w:r>
          </w:p>
        </w:tc>
      </w:tr>
    </w:tbl>
    <w:p w14:paraId="702863FE" w14:textId="070A40D8" w:rsidR="00A65266" w:rsidRPr="004F6670" w:rsidRDefault="00447717" w:rsidP="00262CFB">
      <w:pPr>
        <w:spacing w:after="0"/>
        <w:rPr>
          <w:lang w:eastAsia="en-CA"/>
        </w:rPr>
      </w:pPr>
      <w:r>
        <w:rPr>
          <w:b/>
          <w:bCs/>
          <w:color w:val="000000"/>
        </w:rPr>
        <w:lastRenderedPageBreak/>
        <w:t>Right-of-way support</w:t>
      </w:r>
    </w:p>
    <w:p w14:paraId="5890FD6F" w14:textId="77777777" w:rsidR="00A65266" w:rsidRDefault="00A65266" w:rsidP="00F0381D">
      <w:r>
        <w:t xml:space="preserve">Interestingly, respondents aged 55+ as well as Baby Boomers had less contact with guide dog handlers compared to individuals in the Gen Z group. But, while the Gen Z group consistently had the most contact with guide dog handlers, this group had some of the lowest levels of positive public attitudes in that: </w:t>
      </w:r>
    </w:p>
    <w:p w14:paraId="4D577665" w14:textId="77777777" w:rsidR="00A65266" w:rsidRDefault="00A65266">
      <w:pPr>
        <w:pStyle w:val="ListParagraph"/>
        <w:numPr>
          <w:ilvl w:val="0"/>
          <w:numId w:val="3"/>
        </w:numPr>
      </w:pPr>
      <w:r>
        <w:t>They were the least likely to believe that people who use guide dogs can lead as full a life as those who do not;</w:t>
      </w:r>
    </w:p>
    <w:p w14:paraId="2F65F030" w14:textId="77777777" w:rsidR="00A65266" w:rsidRDefault="00A65266">
      <w:pPr>
        <w:pStyle w:val="ListParagraph"/>
        <w:numPr>
          <w:ilvl w:val="0"/>
          <w:numId w:val="3"/>
        </w:numPr>
      </w:pPr>
      <w:r>
        <w:t xml:space="preserve">They had a lower level of belief that People who use guide dogs feel comfortable travelling and navigating their environments safely and independently; </w:t>
      </w:r>
    </w:p>
    <w:p w14:paraId="74BC1FB3" w14:textId="77777777" w:rsidR="00A65266" w:rsidRDefault="00A65266">
      <w:pPr>
        <w:pStyle w:val="ListParagraph"/>
        <w:numPr>
          <w:ilvl w:val="0"/>
          <w:numId w:val="3"/>
        </w:numPr>
      </w:pPr>
      <w:r>
        <w:t>They had the highest level of belief that the number of people in the sight loss community who use a guide dog is high, and</w:t>
      </w:r>
    </w:p>
    <w:p w14:paraId="7019140E" w14:textId="77777777" w:rsidR="00A65266" w:rsidRPr="00A7008C" w:rsidRDefault="00A65266">
      <w:pPr>
        <w:pStyle w:val="ListParagraph"/>
        <w:numPr>
          <w:ilvl w:val="0"/>
          <w:numId w:val="3"/>
        </w:numPr>
        <w:rPr>
          <w:sz w:val="34"/>
          <w:szCs w:val="34"/>
        </w:rPr>
      </w:pPr>
      <w:r>
        <w:t xml:space="preserve">They were the least likely (69%) to believe that a guide dog is a symbol of independence and empowerment. </w:t>
      </w:r>
    </w:p>
    <w:p w14:paraId="0D234B02" w14:textId="3A1E75AC" w:rsidR="00A65266" w:rsidRDefault="0030764C" w:rsidP="00F0381D">
      <w:r>
        <w:lastRenderedPageBreak/>
        <w:t xml:space="preserve">These </w:t>
      </w:r>
      <w:r w:rsidR="00A65266">
        <w:t>survey findings</w:t>
      </w:r>
      <w:r>
        <w:t xml:space="preserve"> along with</w:t>
      </w:r>
      <w:r w:rsidR="00A65266">
        <w:t xml:space="preserve"> stakeholder engagement, and the jurisdictional scan, </w:t>
      </w:r>
      <w:r>
        <w:t xml:space="preserve">create </w:t>
      </w:r>
      <w:r w:rsidR="00A65266">
        <w:t xml:space="preserve">evidence </w:t>
      </w:r>
      <w:r>
        <w:t xml:space="preserve">that </w:t>
      </w:r>
      <w:r w:rsidR="00A65266">
        <w:t xml:space="preserve">supports </w:t>
      </w:r>
      <w:r>
        <w:t xml:space="preserve">the </w:t>
      </w:r>
      <w:r w:rsidR="00A65266">
        <w:t>interpretation</w:t>
      </w:r>
      <w:r>
        <w:t xml:space="preserve"> that </w:t>
      </w:r>
      <w:r w:rsidR="00A65266">
        <w:t>access denials persist not because public access protections are absent “on paper,” but because implementation and enforcement are uneven</w:t>
      </w:r>
      <w:r>
        <w:t xml:space="preserve"> in Canada</w:t>
      </w:r>
      <w:r w:rsidR="00A65266">
        <w:t>. Quantitatively, transportation is prominent both as a high-impact barrier location (13.4%) and as an area where refusals are frequently reported (51.1%), while the Ipsos findings indicate substantial public uncertainty and limited contact with guide dog users (e.g., 39% reporting low confidence in respectful interaction; 43% never having met a guide dog user). Qualitative accounts help explain how these barriers manifest in practice (e.g., documentation demands, inconsistent staff knowledge, and burdensome complaint pathways), and the jurisdictional scan contextualizes these experiences within a multi-jurisdiction “patchwork” of recognition and enforcement approaches.</w:t>
      </w:r>
    </w:p>
    <w:bookmarkEnd w:id="148"/>
    <w:bookmarkEnd w:id="149"/>
    <w:p w14:paraId="417D422F" w14:textId="77777777" w:rsidR="00844EBC" w:rsidRDefault="00844EBC">
      <w:pPr>
        <w:rPr>
          <w:lang w:eastAsia="en-CA"/>
        </w:rPr>
      </w:pPr>
      <w:r>
        <w:t xml:space="preserve">The findings demonstrate that knowledge alone is insufficient to prevent access barriers. While awareness of guide dog rights is moderately strong, low proximity to guide dog handlers limits experiential understanding, allowing misconceptions and non-compliance to persist. Effective interventions must therefore address both knowledge and the absence of </w:t>
      </w:r>
      <w:r>
        <w:lastRenderedPageBreak/>
        <w:t>routine contact with guide dog teams across different settings (Ballard et al., 2023; Leighton et al., 2025; Silverman et al., 2022).</w:t>
      </w:r>
    </w:p>
    <w:p w14:paraId="3C552359" w14:textId="47E5AFDF" w:rsidR="000A336D" w:rsidRDefault="3D0B5717">
      <w:pPr>
        <w:pStyle w:val="Heading1"/>
        <w:numPr>
          <w:ilvl w:val="0"/>
          <w:numId w:val="2"/>
        </w:numPr>
        <w:rPr>
          <w:kern w:val="36"/>
          <w:sz w:val="32"/>
          <w:szCs w:val="32"/>
        </w:rPr>
      </w:pPr>
      <w:bookmarkStart w:id="161" w:name="_Toc228394681"/>
      <w:r>
        <w:t>Discussion</w:t>
      </w:r>
      <w:bookmarkEnd w:id="150"/>
      <w:bookmarkEnd w:id="151"/>
      <w:bookmarkEnd w:id="152"/>
      <w:bookmarkEnd w:id="153"/>
      <w:bookmarkEnd w:id="154"/>
      <w:bookmarkEnd w:id="155"/>
      <w:bookmarkEnd w:id="156"/>
      <w:bookmarkEnd w:id="157"/>
      <w:bookmarkEnd w:id="158"/>
      <w:bookmarkEnd w:id="161"/>
    </w:p>
    <w:p w14:paraId="1795E64B" w14:textId="77777777" w:rsidR="00A14D95" w:rsidRDefault="00A14D95">
      <w:pPr>
        <w:rPr>
          <w:lang w:eastAsia="en-CA"/>
        </w:rPr>
      </w:pPr>
      <w:r>
        <w:t>The evidence indicates that persistent access denials are not attributable solely to formal legal protections. Instead, the evidence presented indicates a multi-level implementation problem shaped by (i) uneven public and service-provider knowledge, (ii) variable organizational practices across sectors and jurisdictions, and (iii) limited usability and/or timeliness of enforcement and complaint pathways. Consequently, guide dog handlers must navigate non-uniform definitions, discriminatory documentation expectations, and limited enforcement mechanisms.</w:t>
      </w:r>
    </w:p>
    <w:p w14:paraId="7417782A" w14:textId="77777777" w:rsidR="00FA5AD2" w:rsidRDefault="00FA5AD2">
      <w:pPr>
        <w:rPr>
          <w:lang w:eastAsia="en-CA"/>
        </w:rPr>
      </w:pPr>
      <w:r>
        <w:t xml:space="preserve">These findings are consistent with a broader academic literature indicating that access barriers persist across jurisdictions even where formal policies permit service animals, suggesting that rights “on paper” do not reliably translate into predictable access in practice even across international contexts (Leighton et al., 2025; Rickly et al., 2021; Silverman et al., 2022; Zier, 2020; ADI &amp; IGDF 2025). The literature further indicates that these barriers are often driven by front-line uncertainty, variable organizational </w:t>
      </w:r>
      <w:r>
        <w:lastRenderedPageBreak/>
        <w:t>procedures, and inconsistent implementation rather than by an absence of formal legal entitlements (Rickly et al., 2021; Zier, 2020).</w:t>
      </w:r>
    </w:p>
    <w:p w14:paraId="40564942" w14:textId="77777777" w:rsidR="006E1779" w:rsidRDefault="006E1779">
      <w:pPr>
        <w:rPr>
          <w:lang w:eastAsia="en-CA"/>
        </w:rPr>
      </w:pPr>
      <w:r>
        <w:t>A central tension emerges whether guide dog legitimacy is best established through documentation (certification/identification) or through behaviour-based expectations (handler control, appropriate conduct in public). Stakeholders highlighted that documentation can be inconsistent, is susceptible to misunderstanding, and may increase pressure on handlers to disclose personal information. This differs from the 2025 global survey findings which calls for greater visual identifications and ID cards (ADI &amp; IGDF 2025).</w:t>
      </w:r>
    </w:p>
    <w:p w14:paraId="237F3DC8" w14:textId="6038D7AA" w:rsidR="00CD0DC9" w:rsidRDefault="00D404FB" w:rsidP="00F0381D">
      <w:pPr>
        <w:rPr>
          <w:lang w:eastAsia="en-CA"/>
        </w:rPr>
      </w:pPr>
      <w:r>
        <w:t>At the same time, policy variation across provinces raises equity concerns where additional certification processes are imposed on owner-trained guide dog teams.</w:t>
      </w:r>
      <w:r w:rsidR="00B83EE9">
        <w:rPr>
          <w:lang w:eastAsia="en-CA"/>
        </w:rPr>
        <w:t xml:space="preserve"> </w:t>
      </w:r>
      <w:r w:rsidR="00CD0DC9">
        <w:t xml:space="preserve">This documentation </w:t>
      </w:r>
      <w:r w:rsidR="003D49DE">
        <w:t xml:space="preserve">burden </w:t>
      </w:r>
      <w:r w:rsidR="00CD0DC9">
        <w:t>is widely reflected in the literature as a consequence of fragmented service animal policy landscapes and public uncertainty about what rules apply in which setting (Leighton et al., 2025; Zier, 2020). Importantly, recent research also highlights how heightened concern about service animal fraud can increase skepticism toward legitimate</w:t>
      </w:r>
      <w:r w:rsidR="00A52654">
        <w:t xml:space="preserve"> guide dog</w:t>
      </w:r>
      <w:r w:rsidR="00CD0DC9">
        <w:t xml:space="preserve"> teams, contributing to more frequent “proof” demands and a shifting burden of legitimacy onto </w:t>
      </w:r>
      <w:r w:rsidR="003D49DE">
        <w:t xml:space="preserve">guide dog </w:t>
      </w:r>
      <w:r w:rsidR="00CD0DC9">
        <w:t xml:space="preserve">handlers </w:t>
      </w:r>
      <w:r w:rsidR="00CD0DC9">
        <w:lastRenderedPageBreak/>
        <w:t>(Silverman et al., 2022; Zier, 2020</w:t>
      </w:r>
      <w:r w:rsidR="00564CD4">
        <w:t xml:space="preserve">; </w:t>
      </w:r>
      <w:r w:rsidR="001441BC">
        <w:t>ADI &amp; IGDF</w:t>
      </w:r>
      <w:r w:rsidR="00A21154">
        <w:t xml:space="preserve"> 2025</w:t>
      </w:r>
      <w:r w:rsidR="00CD0DC9">
        <w:t>). In this context, documentation requests may function less as a reliable indicator of training and more as an informal gatekeeping practice that intensifies conflict, particularly when staff misunderstand what they are permitted to ask for or require (Leighton et al., 2025; Zier, 2020).</w:t>
      </w:r>
    </w:p>
    <w:p w14:paraId="647F907A" w14:textId="77777777" w:rsidR="004824DD" w:rsidRDefault="004824DD">
      <w:pPr>
        <w:rPr>
          <w:lang w:eastAsia="en-CA"/>
        </w:rPr>
      </w:pPr>
      <w:bookmarkStart w:id="162" w:name="_Toc377572375"/>
      <w:bookmarkStart w:id="163" w:name="_Toc835810220"/>
      <w:bookmarkStart w:id="164" w:name="_Toc499294294"/>
      <w:bookmarkStart w:id="165" w:name="_Toc2004661710"/>
      <w:bookmarkStart w:id="166" w:name="_Toc1348365164"/>
      <w:bookmarkStart w:id="167" w:name="_Toc710372139"/>
      <w:bookmarkStart w:id="168" w:name="_Toc1262750516"/>
      <w:bookmarkStart w:id="169" w:name="_Toc1788565860"/>
      <w:bookmarkStart w:id="170" w:name="_Toc1482828823"/>
      <w:r>
        <w:t>Transportation is a high-impact setting because access denials for guide dog teams can immediately prevent mobility and participation. The evidence base includes survey-based refusals and qualitative accounts of refusals and cancellations in taxi and ride-share contexts, as well as inconsistent air travel processes and accessibility concerns (e.g., documentation workflows and staff support across the travel ecosystem). These findings are parallel to the global report on assistance dogs, where guide dog handlers experience higher refusal rates at 63% than other assistance dog users at 56% globally for taxis and ride-share (ADI &amp; IGDF 2025, p. 6). This supports a need for clear operational processes, consistent staff training, and accountability mechanisms across multiple transportation sectors.</w:t>
      </w:r>
    </w:p>
    <w:p w14:paraId="49407A46" w14:textId="019D0DE5" w:rsidR="00D36B95" w:rsidRDefault="00D36B95" w:rsidP="00F0381D">
      <w:pPr>
        <w:rPr>
          <w:lang w:eastAsia="en-CA"/>
        </w:rPr>
      </w:pPr>
      <w:r>
        <w:t xml:space="preserve">Peer-reviewed travel studies similarly emphasize that air travel can be uniquely burdensome for guide dog teams because procedures and documentation workflows vary across airlines and can change over time, </w:t>
      </w:r>
      <w:r>
        <w:lastRenderedPageBreak/>
        <w:t>producing a patchwork of advance-notification and form requirements that is difficult to navigate, particularly for multi-leg or international trips (Rickly et al., 2021; Zier, 2020). In Rickly et al.’s (2021) interviews, participants described airport and airline personnel who were unfamiliar with guide dog assistance practices, leading to delays, last-minute seat changes, and disputes over documentation at check-in or security</w:t>
      </w:r>
      <w:r w:rsidR="00164258">
        <w:t xml:space="preserve">. These </w:t>
      </w:r>
      <w:r>
        <w:t xml:space="preserve">issues mirror the implementation failures described by participants in this study. </w:t>
      </w:r>
      <w:r w:rsidR="00122AA1">
        <w:t xml:space="preserve">The </w:t>
      </w:r>
      <w:r>
        <w:t xml:space="preserve">evidence underscores the importance of treating accessibility as a travel-chain problem (booking, check-in, security, border, gate, inflight, and terminals) and ensuring that staff training and </w:t>
      </w:r>
      <w:r w:rsidR="00122AA1">
        <w:t xml:space="preserve">mechanisms for </w:t>
      </w:r>
      <w:r>
        <w:t>information continuity extend across handoff points (Rickly et al., 2021; Silverman et al., 2022).</w:t>
      </w:r>
    </w:p>
    <w:p w14:paraId="20DA2996" w14:textId="1F718529" w:rsidR="00A252A7" w:rsidRDefault="00A252A7" w:rsidP="00F0381D">
      <w:r>
        <w:t>E</w:t>
      </w:r>
      <w:r w:rsidRPr="00A252A7">
        <w:t xml:space="preserve">quality and inclusion barriers for guide dog handlers are unevenly distributed across public environments and extend beyond discrete instances of access refusal. Across multiple locations, reported difficulties accessing services are accompanied by measurable impacts on daily life and, critically, by </w:t>
      </w:r>
      <w:r w:rsidR="00122AA1">
        <w:t xml:space="preserve">the adoption of behaviours by guide dog handlers </w:t>
      </w:r>
      <w:r w:rsidRPr="00A252A7">
        <w:t xml:space="preserve">such as avoiding certain environments or choosing not to bring a guide dog. </w:t>
      </w:r>
      <w:r w:rsidR="00635160">
        <w:t xml:space="preserve">Compared to other assistance dog handlers, 48% of guide dog handlers worldwide avoid public spaces (ADI </w:t>
      </w:r>
      <w:r w:rsidR="001441BC">
        <w:t xml:space="preserve">&amp; IGDF </w:t>
      </w:r>
      <w:r w:rsidR="00635160">
        <w:t>2025</w:t>
      </w:r>
      <w:r w:rsidR="00AF7552">
        <w:t>, p. 8</w:t>
      </w:r>
      <w:r w:rsidR="00635160">
        <w:t xml:space="preserve">). </w:t>
      </w:r>
      <w:r w:rsidRPr="00A252A7">
        <w:t xml:space="preserve">These patterns indicate that exclusion operates not only at the point of service interaction but also </w:t>
      </w:r>
      <w:r w:rsidRPr="00A252A7">
        <w:lastRenderedPageBreak/>
        <w:t xml:space="preserve">anticipatorily, shaping mobility decisions and social participation in advance of potential denial. </w:t>
      </w:r>
    </w:p>
    <w:p w14:paraId="6534A216" w14:textId="77777777" w:rsidR="004101EE" w:rsidRDefault="004101EE">
      <w:pPr>
        <w:rPr>
          <w:lang w:eastAsia="en-CA"/>
        </w:rPr>
      </w:pPr>
      <w:r>
        <w:t xml:space="preserve">The literature additionally suggests that exclusion is sustained through interpersonal and institutional mechanisms that may not be captured by complaint-based indicators alone. For example, qualitative work on service dog access describes microaggressions, “hyper-invisibility,” and advocacy fatigue, where repeated minor challenges (e.g., questioning, hesitation, distraction of the dog, or “policy debates” at the point of service) accumulate into a chronic burden and contribute to anticipatory avoidance (Ballard et al., 2023; Leighton et al., 2025; Gravrok et al., 2019). Beyond day-to-day public access, access barriers have also been documented in institutional domains such as housing, employment, and healthcare, including landlord refusals and improper fees, workplace uncertainty about accommodation (including allergies and phobias), and sporadic denial of guide dog presence in clinical environments, all of which can place guide dog  handlers in the position of having to negotiate access while managing safety and dignity concerns (Leighton et al., 2025; Lindsay and Thiyagarajah, 2022). </w:t>
      </w:r>
    </w:p>
    <w:p w14:paraId="4F298DA7" w14:textId="77777777" w:rsidR="00AC5D4C" w:rsidRDefault="00AC5D4C">
      <w:pPr>
        <w:rPr>
          <w:lang w:eastAsia="en-CA"/>
        </w:rPr>
      </w:pPr>
      <w:r>
        <w:t xml:space="preserve">Notably, several environments exhibit moderate levels of reported access difficulty but comparatively high levels of avoidance, suggesting that </w:t>
      </w:r>
      <w:r>
        <w:lastRenderedPageBreak/>
        <w:t>formal access rights do not reliably translate into predictable, dignified access in practice. Consistent with the Anticipated Access Denial Framework (AADF) (Figure 1), these findings suggest a cascading process whereby environmental barriers and prior negative encounters contribute to anticipated denial, protective behavioural adaptation, and constraints on autonomy and mobility options. Table 6 illustrates how these outcomes can occur even in the absence of an overt denial, underscoring the need for interventions that address behavioural, environmental, and systemic conditions rather than relying solely on legal compliance or complaint-based indicators.</w:t>
      </w:r>
    </w:p>
    <w:p w14:paraId="2216DB59" w14:textId="2A72ADA0" w:rsidR="00B350EF" w:rsidRPr="00B350EF" w:rsidRDefault="00B350EF" w:rsidP="00B350EF">
      <w:pPr>
        <w:pStyle w:val="Caption"/>
        <w:keepNext/>
        <w:rPr>
          <w:b w:val="0"/>
          <w:bCs/>
        </w:rPr>
      </w:pPr>
      <w:bookmarkStart w:id="171" w:name="_Toc228389123"/>
      <w:r w:rsidRPr="00B350EF">
        <w:rPr>
          <w:i w:val="0"/>
          <w:iCs w:val="0"/>
        </w:rPr>
        <w:lastRenderedPageBreak/>
        <w:t xml:space="preserve">Figure </w:t>
      </w:r>
      <w:r w:rsidRPr="00B350EF">
        <w:rPr>
          <w:i w:val="0"/>
          <w:iCs w:val="0"/>
        </w:rPr>
        <w:fldChar w:fldCharType="begin"/>
      </w:r>
      <w:r w:rsidRPr="00B350EF">
        <w:rPr>
          <w:i w:val="0"/>
          <w:iCs w:val="0"/>
        </w:rPr>
        <w:instrText xml:space="preserve"> SEQ Figure \* ARABIC </w:instrText>
      </w:r>
      <w:r w:rsidRPr="00B350EF">
        <w:rPr>
          <w:i w:val="0"/>
          <w:iCs w:val="0"/>
        </w:rPr>
        <w:fldChar w:fldCharType="separate"/>
      </w:r>
      <w:r w:rsidR="00AC3B18">
        <w:rPr>
          <w:i w:val="0"/>
          <w:iCs w:val="0"/>
          <w:noProof/>
        </w:rPr>
        <w:t>1</w:t>
      </w:r>
      <w:r w:rsidRPr="00B350EF">
        <w:rPr>
          <w:i w:val="0"/>
          <w:iCs w:val="0"/>
        </w:rPr>
        <w:fldChar w:fldCharType="end"/>
      </w:r>
      <w:r>
        <w:t xml:space="preserve"> </w:t>
      </w:r>
      <w:r>
        <w:br/>
      </w:r>
      <w:r w:rsidRPr="00B350EF">
        <w:rPr>
          <w:b w:val="0"/>
          <w:bCs/>
        </w:rPr>
        <w:t>Anticipated Access Denial Framework (AADF) for Guide Dog Handlers in Canada</w:t>
      </w:r>
      <w:bookmarkEnd w:id="171"/>
    </w:p>
    <w:p w14:paraId="631576B4" w14:textId="6C214BEA" w:rsidR="0052456E" w:rsidRDefault="008F5A03" w:rsidP="00B350EF">
      <w:pPr>
        <w:ind w:firstLine="0"/>
      </w:pPr>
      <w:r w:rsidRPr="004C6AA8">
        <w:rPr>
          <w:noProof/>
        </w:rPr>
        <w:drawing>
          <wp:inline distT="0" distB="0" distL="0" distR="0" wp14:anchorId="546A4AF7" wp14:editId="7C686BD5">
            <wp:extent cx="5943600" cy="3962400"/>
            <wp:effectExtent l="0" t="0" r="0" b="0"/>
            <wp:docPr id="509698221" name="Picture 1" descr="Infographic illustrating the Anticipated Access Denial Framework (AADF) as a five-step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98221" name="Picture 1" descr="Infographic illustrating the Anticipated Access Denial Framework (AADF) as a five-step sequence."/>
                    <pic:cNvPicPr/>
                  </pic:nvPicPr>
                  <pic:blipFill>
                    <a:blip r:embed="rId11"/>
                    <a:stretch>
                      <a:fillRect/>
                    </a:stretch>
                  </pic:blipFill>
                  <pic:spPr>
                    <a:xfrm>
                      <a:off x="0" y="0"/>
                      <a:ext cx="5943600" cy="3962400"/>
                    </a:xfrm>
                    <a:prstGeom prst="rect">
                      <a:avLst/>
                    </a:prstGeom>
                  </pic:spPr>
                </pic:pic>
              </a:graphicData>
            </a:graphic>
          </wp:inline>
        </w:drawing>
      </w:r>
    </w:p>
    <w:p w14:paraId="5F129EF0" w14:textId="77777777" w:rsidR="00835DE7" w:rsidRDefault="00835DE7">
      <w:pPr>
        <w:rPr>
          <w:lang w:eastAsia="en-CA"/>
        </w:rPr>
      </w:pPr>
      <w:r>
        <w:rPr>
          <w:b/>
          <w:bCs/>
        </w:rPr>
        <w:t>Alt-text:</w:t>
      </w:r>
      <w:r>
        <w:t xml:space="preserve"> Infographic illustrating the Anticipated Access Denial Framework (AADF) as a five-step sequence. From top to bottom, the image depicts: (1) environmental barriers and poor awareness (e.g., “no dogs” signage and inconsistent staff knowledge); (2) repeated negative service interactions and access challenges for a guide dog team; (3) anticipatory </w:t>
      </w:r>
      <w:r>
        <w:lastRenderedPageBreak/>
        <w:t>fear of discrimination and expected denial; (4) protective behavioural adaptation (e.g., avoiding unfamiliar settings or sometimes choosing not to bring a guide dog); and (5) constrained autonomy and reduced mobility options over time. Arrows connect each step to show progression.</w:t>
      </w:r>
    </w:p>
    <w:p w14:paraId="3D3CABF1" w14:textId="3D2CFC71" w:rsidR="00D404FB" w:rsidRDefault="00D404FB" w:rsidP="00F0381D">
      <w:pPr>
        <w:rPr>
          <w:lang w:eastAsia="en-CA"/>
        </w:rPr>
      </w:pPr>
      <w:r>
        <w:t>Finally, enforcement and education are best understood as complementary</w:t>
      </w:r>
      <w:r w:rsidR="00A90C21">
        <w:t>. S</w:t>
      </w:r>
      <w:r>
        <w:t xml:space="preserve">takeholders described gaps in front-line awareness </w:t>
      </w:r>
      <w:r w:rsidR="0053025D">
        <w:t xml:space="preserve">which can create </w:t>
      </w:r>
      <w:r>
        <w:t xml:space="preserve">uneven enforcement </w:t>
      </w:r>
      <w:r w:rsidR="0053025D">
        <w:t xml:space="preserve">and </w:t>
      </w:r>
      <w:r>
        <w:t>outcomes</w:t>
      </w:r>
      <w:r w:rsidR="008C3360">
        <w:t xml:space="preserve">. The </w:t>
      </w:r>
      <w:r>
        <w:t xml:space="preserve">Ipsos </w:t>
      </w:r>
      <w:r w:rsidR="008C3360">
        <w:t xml:space="preserve">survey </w:t>
      </w:r>
      <w:r>
        <w:t>results suggest broad public uncertainty and limited familiarity with guide dog users</w:t>
      </w:r>
      <w:r w:rsidR="008C3360">
        <w:t xml:space="preserve"> in Canada</w:t>
      </w:r>
      <w:r>
        <w:t xml:space="preserve">. </w:t>
      </w:r>
      <w:r w:rsidR="008C3360">
        <w:t>I</w:t>
      </w:r>
      <w:r>
        <w:t>mproving access outcomes likely requires both (1) more effective, timely, and accessible redress pathways, and (2) sustained public and service-provider education designed with lived experience at the centre.</w:t>
      </w:r>
    </w:p>
    <w:bookmarkEnd w:id="162"/>
    <w:bookmarkEnd w:id="163"/>
    <w:bookmarkEnd w:id="164"/>
    <w:bookmarkEnd w:id="165"/>
    <w:bookmarkEnd w:id="166"/>
    <w:bookmarkEnd w:id="167"/>
    <w:bookmarkEnd w:id="168"/>
    <w:bookmarkEnd w:id="169"/>
    <w:bookmarkEnd w:id="170"/>
    <w:p w14:paraId="1AE4DE88" w14:textId="77777777" w:rsidR="00CD0DC9" w:rsidRDefault="00CD0DC9" w:rsidP="00F0381D">
      <w:pPr>
        <w:rPr>
          <w:lang w:eastAsia="en-CA"/>
        </w:rPr>
      </w:pPr>
      <w:r>
        <w:t xml:space="preserve">Across the literature, education is repeatedly identified as necessary but insufficient on its own; researchers emphasize that durable change typically requires pairing training with credible enforcement mechanisms and accessible reporting pathways that reduce the burden placed on individual handlers to resolve violations in the moment (Leighton et al., 2025; Silverman et al., 2022; Zier, 2020). Studies also suggest that when organizations implement clear operational protocols (e.g., standardized procedures, designated points of accountability, and measurable </w:t>
      </w:r>
      <w:r>
        <w:lastRenderedPageBreak/>
        <w:t>consequences for refusals), access outcomes can improve, reinforcing the value of combining awareness-building with governance and enforcement capacity (Rickly et al., 2021; Silverman et al., 2022).</w:t>
      </w:r>
    </w:p>
    <w:p w14:paraId="59A11828" w14:textId="01DD5232" w:rsidR="00A8687D" w:rsidRDefault="004419A3" w:rsidP="00803D9D">
      <w:pPr>
        <w:pStyle w:val="Heading2"/>
      </w:pPr>
      <w:r>
        <w:t xml:space="preserve"> </w:t>
      </w:r>
      <w:bookmarkStart w:id="172" w:name="_Toc228294112"/>
      <w:r w:rsidR="00A8687D">
        <w:t>Impact of the Pandemic</w:t>
      </w:r>
      <w:bookmarkEnd w:id="172"/>
      <w:r w:rsidR="00A8687D">
        <w:t xml:space="preserve"> </w:t>
      </w:r>
    </w:p>
    <w:p w14:paraId="1428A966" w14:textId="77777777" w:rsidR="00A8687D" w:rsidRDefault="00A8687D" w:rsidP="00F0381D">
      <w:r>
        <w:t xml:space="preserve">During the Lake Joseph Research Day, one small group discussed guide dogs as an essential service, both generally, and within the context of the COVID-19 pandemic. Participants noted that during the pandemic, guide dog training was initially not deemed essential, but that changed as the community pushed to reopen. A guide dog’s role in a handler’s life is essential, since they perform tasks which are absolutely necessary in contributing to a handler’s life.  They stated that the mere fact that they lead to greater independence and freedom also makes them essential.  Still, as the world emerges from the pandemic, this has created other issues. For example, whereas dogs both trained and worked in quieter pandemic environments, now they are working in busier areas, making them more anxious. During the pandemic, public access denials continued to happen such as at hotels and when seeking living accommodations. </w:t>
      </w:r>
    </w:p>
    <w:p w14:paraId="21FDD4E2" w14:textId="77777777" w:rsidR="007A5C02" w:rsidRDefault="007A5C02">
      <w:pPr>
        <w:rPr>
          <w:lang w:eastAsia="en-CA"/>
        </w:rPr>
      </w:pPr>
      <w:bookmarkStart w:id="173" w:name="_Toc1838385488"/>
      <w:bookmarkStart w:id="174" w:name="_Toc1271619533"/>
      <w:bookmarkStart w:id="175" w:name="_Toc1899149696"/>
      <w:bookmarkStart w:id="176" w:name="_Toc1298998581"/>
      <w:bookmarkStart w:id="177" w:name="_Toc2139683669"/>
      <w:bookmarkStart w:id="178" w:name="_Toc1510729004"/>
      <w:bookmarkStart w:id="179" w:name="_Toc1466984137"/>
      <w:bookmarkStart w:id="180" w:name="_Toc1755597853"/>
      <w:bookmarkStart w:id="181" w:name="_Toc1429101677"/>
      <w:r>
        <w:t xml:space="preserve">The guide dog handlers identified that it is essential for there to be more guide dog relief areas, the same way there are public washrooms. They </w:t>
      </w:r>
      <w:r>
        <w:lastRenderedPageBreak/>
        <w:t>discussed that support for veterinary services and the costs of grooming and nail clipping, are also essential services. Access to these services was a particular problem during the pandemic. In addition, barriers to veterinary care were imposed during the pandemic when vet clinics would not allow guide dog handlers to remain inside the clinic, forcing handlers to wait outside. As this research was undertaken at the closing of the pandemic, these concerns must be documented to address future large-scale emergency measures by governments and service providers to address the unintended consequences on guide dog teams.</w:t>
      </w:r>
    </w:p>
    <w:p w14:paraId="02686DD7" w14:textId="77777777" w:rsidR="00262CFB" w:rsidRDefault="00262CFB">
      <w:pPr>
        <w:spacing w:line="259" w:lineRule="auto"/>
        <w:ind w:firstLine="0"/>
        <w:rPr>
          <w:rFonts w:eastAsiaTheme="majorEastAsia" w:cstheme="majorBidi"/>
          <w:b/>
          <w:bCs/>
          <w:sz w:val="44"/>
          <w:szCs w:val="44"/>
        </w:rPr>
      </w:pPr>
      <w:bookmarkStart w:id="182" w:name="_Toc228394682"/>
      <w:r>
        <w:br w:type="page"/>
      </w:r>
    </w:p>
    <w:p w14:paraId="3A49D986" w14:textId="2F664B6D" w:rsidR="009D3B67" w:rsidRDefault="009D3B67">
      <w:pPr>
        <w:pStyle w:val="Heading1"/>
        <w:numPr>
          <w:ilvl w:val="0"/>
          <w:numId w:val="2"/>
        </w:numPr>
      </w:pPr>
      <w:r w:rsidRPr="00AF6AD4">
        <w:lastRenderedPageBreak/>
        <w:t>Proposed Standard</w:t>
      </w:r>
      <w:r>
        <w:t xml:space="preserve"> for</w:t>
      </w:r>
      <w:r w:rsidRPr="00AF6AD4">
        <w:t xml:space="preserve"> Guide Dog </w:t>
      </w:r>
      <w:r w:rsidR="00A26494">
        <w:t xml:space="preserve">Handlers </w:t>
      </w:r>
      <w:r w:rsidRPr="00AF6AD4">
        <w:t>Access, Protection, and Inclusion</w:t>
      </w:r>
      <w:r w:rsidR="00A26494">
        <w:t xml:space="preserve"> in Canada</w:t>
      </w:r>
      <w:bookmarkEnd w:id="182"/>
    </w:p>
    <w:p w14:paraId="3E2AB309" w14:textId="77777777" w:rsidR="009D3B67" w:rsidRDefault="009D3B67" w:rsidP="00803D9D">
      <w:pPr>
        <w:pStyle w:val="Heading2"/>
        <w:rPr>
          <w:lang w:eastAsia="en-CA"/>
        </w:rPr>
      </w:pPr>
      <w:bookmarkStart w:id="183" w:name="_Toc228294113"/>
      <w:r>
        <w:t>Scope</w:t>
      </w:r>
      <w:bookmarkEnd w:id="183"/>
    </w:p>
    <w:p w14:paraId="07233372" w14:textId="7D1FC878" w:rsidR="009D3B67" w:rsidRPr="00394B28" w:rsidRDefault="009D3B67" w:rsidP="00F0381D">
      <w:r w:rsidRPr="00394B28">
        <w:t>This standard specifies minimum requirements to ensure equitable, consistent, and enforceable access, safety, transportation, enforcement, and education practices for guide dog teams in Canada.</w:t>
      </w:r>
      <w:r w:rsidR="00C75008">
        <w:t xml:space="preserve"> They are based on the recommendations in Appendix </w:t>
      </w:r>
      <w:r w:rsidR="009361CF">
        <w:t>A of this report.</w:t>
      </w:r>
    </w:p>
    <w:p w14:paraId="6C79415A" w14:textId="77777777" w:rsidR="009D3B67" w:rsidRPr="00394B28" w:rsidRDefault="009D3B67" w:rsidP="00F0381D">
      <w:r w:rsidRPr="00394B28">
        <w:t>This standard applies to:</w:t>
      </w:r>
    </w:p>
    <w:p w14:paraId="02CD0898" w14:textId="77777777" w:rsidR="009D3B67" w:rsidRPr="00394B28" w:rsidRDefault="009D3B67">
      <w:pPr>
        <w:pStyle w:val="ListParagraph"/>
        <w:numPr>
          <w:ilvl w:val="0"/>
          <w:numId w:val="4"/>
        </w:numPr>
      </w:pPr>
      <w:r w:rsidRPr="00394B28">
        <w:t>Federal, provincial, territorial, and municipal governments</w:t>
      </w:r>
    </w:p>
    <w:p w14:paraId="0ECF5C1B" w14:textId="77777777" w:rsidR="009D3B67" w:rsidRPr="00394B28" w:rsidRDefault="009D3B67">
      <w:pPr>
        <w:pStyle w:val="ListParagraph"/>
        <w:numPr>
          <w:ilvl w:val="0"/>
          <w:numId w:val="4"/>
        </w:numPr>
      </w:pPr>
      <w:r w:rsidRPr="00394B28">
        <w:t>Transportation providers and platforms</w:t>
      </w:r>
    </w:p>
    <w:p w14:paraId="440D23B8" w14:textId="77777777" w:rsidR="009D3B67" w:rsidRPr="00394B28" w:rsidRDefault="009D3B67">
      <w:pPr>
        <w:pStyle w:val="ListParagraph"/>
        <w:numPr>
          <w:ilvl w:val="0"/>
          <w:numId w:val="4"/>
        </w:numPr>
      </w:pPr>
      <w:r w:rsidRPr="00394B28">
        <w:t>Enforcement bodies and tribunals</w:t>
      </w:r>
    </w:p>
    <w:p w14:paraId="47202542" w14:textId="77777777" w:rsidR="009D3B67" w:rsidRPr="00394B28" w:rsidRDefault="009D3B67">
      <w:pPr>
        <w:pStyle w:val="ListParagraph"/>
        <w:numPr>
          <w:ilvl w:val="0"/>
          <w:numId w:val="4"/>
        </w:numPr>
      </w:pPr>
      <w:r w:rsidRPr="00394B28">
        <w:t>Standards development organizations</w:t>
      </w:r>
    </w:p>
    <w:p w14:paraId="3EE17CF5" w14:textId="77777777" w:rsidR="00594B44" w:rsidRPr="00594B44" w:rsidRDefault="00594B44">
      <w:pPr>
        <w:pStyle w:val="ListParagraph"/>
        <w:numPr>
          <w:ilvl w:val="0"/>
          <w:numId w:val="4"/>
        </w:numPr>
      </w:pPr>
      <w:r>
        <w:rPr>
          <w:rFonts w:cstheme="minorBidi"/>
        </w:rPr>
        <w:t>public-facing service providers</w:t>
      </w:r>
    </w:p>
    <w:p w14:paraId="7EC073FA" w14:textId="77777777" w:rsidR="009D3B67" w:rsidRPr="00394B28" w:rsidRDefault="009D3B67">
      <w:pPr>
        <w:pStyle w:val="ListParagraph"/>
        <w:numPr>
          <w:ilvl w:val="0"/>
          <w:numId w:val="4"/>
        </w:numPr>
      </w:pPr>
      <w:r w:rsidRPr="00394B28">
        <w:t>Educational institutions</w:t>
      </w:r>
    </w:p>
    <w:p w14:paraId="382E3A47" w14:textId="77777777" w:rsidR="009D3B67" w:rsidRPr="00394B28" w:rsidRDefault="009D3B67" w:rsidP="00F0381D">
      <w:r w:rsidRPr="00394B28">
        <w:lastRenderedPageBreak/>
        <w:t xml:space="preserve">This standard does </w:t>
      </w:r>
      <w:r w:rsidRPr="00394B28">
        <w:rPr>
          <w:b/>
          <w:bCs/>
        </w:rPr>
        <w:t>not</w:t>
      </w:r>
      <w:r w:rsidRPr="00394B28">
        <w:t xml:space="preserve"> regulate guide dog training, care, or handling practices governed by recognized guide dog training organizations.</w:t>
      </w:r>
    </w:p>
    <w:p w14:paraId="607E8464" w14:textId="77777777" w:rsidR="009D3B67" w:rsidRDefault="009D3B67" w:rsidP="00803D9D">
      <w:pPr>
        <w:pStyle w:val="Heading2"/>
        <w:rPr>
          <w:lang w:eastAsia="en-CA"/>
        </w:rPr>
      </w:pPr>
      <w:bookmarkStart w:id="184" w:name="_Toc228294114"/>
      <w:r>
        <w:t>Normative References</w:t>
      </w:r>
      <w:bookmarkEnd w:id="184"/>
    </w:p>
    <w:p w14:paraId="70A9DEEB" w14:textId="77777777" w:rsidR="009D3B67" w:rsidRPr="00394B28" w:rsidRDefault="009D3B67" w:rsidP="00F0381D">
      <w:r w:rsidRPr="00394B28">
        <w:t>The following referenced documents are indispensable for the application of this document. For dated references, only the edition cited applies. For undated references, the latest edition applies.</w:t>
      </w:r>
    </w:p>
    <w:p w14:paraId="3FD9E178" w14:textId="77777777" w:rsidR="009D3B67" w:rsidRDefault="009D3B67">
      <w:pPr>
        <w:pStyle w:val="ListParagraph"/>
        <w:numPr>
          <w:ilvl w:val="0"/>
          <w:numId w:val="5"/>
        </w:numPr>
        <w:rPr>
          <w:lang w:eastAsia="en-CA"/>
        </w:rPr>
      </w:pPr>
      <w:r>
        <w:t>Accessible Canada Act (S.C. 2019, c. 10)</w:t>
      </w:r>
    </w:p>
    <w:p w14:paraId="24AB9B6D" w14:textId="77777777" w:rsidR="009D3B67" w:rsidRDefault="009D3B67">
      <w:pPr>
        <w:pStyle w:val="ListParagraph"/>
        <w:numPr>
          <w:ilvl w:val="0"/>
          <w:numId w:val="5"/>
        </w:numPr>
      </w:pPr>
      <w:r>
        <w:t>Canadian Human Rights Act (R.S.C., 1985, c. H-6)</w:t>
      </w:r>
    </w:p>
    <w:p w14:paraId="66766E7A" w14:textId="77777777" w:rsidR="009D3B67" w:rsidRDefault="009D3B67">
      <w:pPr>
        <w:pStyle w:val="ListParagraph"/>
        <w:numPr>
          <w:ilvl w:val="0"/>
          <w:numId w:val="5"/>
        </w:numPr>
      </w:pPr>
      <w:r>
        <w:t>Accessible Transportation for Persons with Disabilities Regulations (SOR/2019-244)</w:t>
      </w:r>
    </w:p>
    <w:p w14:paraId="68791BE7" w14:textId="77777777" w:rsidR="009D3B67" w:rsidRDefault="009D3B67">
      <w:pPr>
        <w:pStyle w:val="ListParagraph"/>
        <w:numPr>
          <w:ilvl w:val="0"/>
          <w:numId w:val="5"/>
        </w:numPr>
      </w:pPr>
      <w:r>
        <w:t>International Guide Dog Federation (IGDF), Standards</w:t>
      </w:r>
    </w:p>
    <w:p w14:paraId="0930681B" w14:textId="77777777" w:rsidR="009D3B67" w:rsidRDefault="009D3B67">
      <w:pPr>
        <w:pStyle w:val="ListParagraph"/>
        <w:numPr>
          <w:ilvl w:val="0"/>
          <w:numId w:val="5"/>
        </w:numPr>
      </w:pPr>
      <w:r>
        <w:t>Assistance Dogs International (ADI), Standards</w:t>
      </w:r>
    </w:p>
    <w:p w14:paraId="2116789A" w14:textId="77777777" w:rsidR="009D3B67" w:rsidRDefault="009D3B67" w:rsidP="00F0381D">
      <w:pPr>
        <w:rPr>
          <w:sz w:val="22"/>
          <w:szCs w:val="22"/>
          <w:lang w:eastAsia="en-CA"/>
        </w:rPr>
      </w:pPr>
      <w:r>
        <w:rPr>
          <w:i/>
          <w:iCs/>
        </w:rPr>
        <w:t>NOTE:</w:t>
      </w:r>
      <w:r>
        <w:t xml:space="preserve"> In addition to the documents listed above, applicable provincial and territorial human rights, accessibility, and guide dog/service animal legislation may apply.</w:t>
      </w:r>
    </w:p>
    <w:p w14:paraId="761D6689" w14:textId="77777777" w:rsidR="009D3B67" w:rsidRDefault="009D3B67" w:rsidP="00803D9D">
      <w:pPr>
        <w:pStyle w:val="Heading2"/>
        <w:rPr>
          <w:lang w:eastAsia="en-CA"/>
        </w:rPr>
      </w:pPr>
      <w:bookmarkStart w:id="185" w:name="_Toc228294115"/>
      <w:r>
        <w:t>Terms and Definitions</w:t>
      </w:r>
      <w:bookmarkEnd w:id="185"/>
    </w:p>
    <w:p w14:paraId="60F3979E" w14:textId="77777777" w:rsidR="009D3B67" w:rsidRPr="00394B28" w:rsidRDefault="009D3B67" w:rsidP="00F0381D">
      <w:r w:rsidRPr="00394B28">
        <w:t>For the purposes of this document, the following terms apply.</w:t>
      </w:r>
    </w:p>
    <w:p w14:paraId="7C0C805B" w14:textId="77777777" w:rsidR="009D3B67" w:rsidRPr="00394B28" w:rsidRDefault="009D3B67" w:rsidP="00F0381D">
      <w:r w:rsidRPr="00394B28">
        <w:lastRenderedPageBreak/>
        <w:t>3.1 guide dog</w:t>
      </w:r>
    </w:p>
    <w:p w14:paraId="06A51BD9" w14:textId="77777777" w:rsidR="009D3B67" w:rsidRPr="00394B28" w:rsidRDefault="009D3B67" w:rsidP="00F0381D">
      <w:r w:rsidRPr="00394B28">
        <w:t>A dog that has been trained to assist a person who is blind, Deafblind, or partially sighted with navigation, mobility, and safety tasks.</w:t>
      </w:r>
    </w:p>
    <w:p w14:paraId="0729FFD2" w14:textId="77777777" w:rsidR="009D3B67" w:rsidRPr="00394B28" w:rsidRDefault="009D3B67" w:rsidP="00F0381D">
      <w:r w:rsidRPr="00394B28">
        <w:t>3.2 guide dog team</w:t>
      </w:r>
    </w:p>
    <w:p w14:paraId="7147C04D" w14:textId="77777777" w:rsidR="009D3B67" w:rsidRPr="00394B28" w:rsidRDefault="009D3B67" w:rsidP="00F0381D">
      <w:r w:rsidRPr="00394B28">
        <w:t>A guide dog and its handler operating together as a functional mobility unit.</w:t>
      </w:r>
    </w:p>
    <w:p w14:paraId="68A93FD5" w14:textId="77777777" w:rsidR="009D3B67" w:rsidRPr="00394B28" w:rsidRDefault="009D3B67" w:rsidP="00F0381D">
      <w:r w:rsidRPr="00394B28">
        <w:t>3.3 behaviour</w:t>
      </w:r>
      <w:r w:rsidRPr="00394B28">
        <w:noBreakHyphen/>
        <w:t>based access determination</w:t>
      </w:r>
    </w:p>
    <w:p w14:paraId="5C6A09BF" w14:textId="77777777" w:rsidR="00A13E54" w:rsidRDefault="00A13E54">
      <w:pPr>
        <w:rPr>
          <w:lang w:eastAsia="en-CA"/>
        </w:rPr>
      </w:pPr>
      <w:r>
        <w:t>Assessment of a guide dog team’s legitimacy based on observable working behaviour, handler control, and public safety, rather than documentation or certification.</w:t>
      </w:r>
    </w:p>
    <w:p w14:paraId="4523CE2A" w14:textId="77777777" w:rsidR="009D3B67" w:rsidRPr="00394B28" w:rsidRDefault="009D3B67" w:rsidP="00F0381D">
      <w:r w:rsidRPr="00394B28">
        <w:t>3.4 access refusal</w:t>
      </w:r>
    </w:p>
    <w:p w14:paraId="09A90464" w14:textId="77777777" w:rsidR="009D3B67" w:rsidRPr="00394B28" w:rsidRDefault="009D3B67" w:rsidP="00F0381D">
      <w:r w:rsidRPr="00394B28">
        <w:t>Any denial of entry, service, or accommodation to a guide dog team in a setting where the public is normally admitted.</w:t>
      </w:r>
    </w:p>
    <w:p w14:paraId="341A2FB8" w14:textId="77777777" w:rsidR="009D3B67" w:rsidRDefault="009D3B67" w:rsidP="00F0381D">
      <w:pPr>
        <w:rPr>
          <w:sz w:val="22"/>
          <w:szCs w:val="22"/>
          <w:lang w:eastAsia="en-CA"/>
        </w:rPr>
      </w:pPr>
      <w:r>
        <w:t>3.5 jurisdiction</w:t>
      </w:r>
    </w:p>
    <w:p w14:paraId="6BA572F1" w14:textId="77777777" w:rsidR="009D3B67" w:rsidRDefault="009D3B67" w:rsidP="00F0381D">
      <w:pPr>
        <w:rPr>
          <w:sz w:val="22"/>
          <w:szCs w:val="22"/>
          <w:lang w:eastAsia="en-CA"/>
        </w:rPr>
      </w:pPr>
      <w:r>
        <w:t>A federal, provincial, territorial, or municipal authority (or its delegate) with legislative, regulatory, or enforcement responsibility in relation to the subject matter of this document.</w:t>
      </w:r>
    </w:p>
    <w:p w14:paraId="4537843B" w14:textId="77777777" w:rsidR="009D3B67" w:rsidRDefault="009D3B67" w:rsidP="00F0381D">
      <w:pPr>
        <w:rPr>
          <w:sz w:val="22"/>
          <w:szCs w:val="22"/>
          <w:lang w:eastAsia="en-CA"/>
        </w:rPr>
      </w:pPr>
      <w:r>
        <w:rPr>
          <w:i/>
          <w:iCs/>
        </w:rPr>
        <w:lastRenderedPageBreak/>
        <w:t>NOTE:</w:t>
      </w:r>
      <w:r>
        <w:t xml:space="preserve"> In this document, “jurisdiction” includes authorities with responsibilities arising under instruments such as the Accessible Canada Act and the Canadian Human Rights Act.</w:t>
      </w:r>
    </w:p>
    <w:p w14:paraId="7DD8AEDC" w14:textId="77777777" w:rsidR="009D3B67" w:rsidRDefault="009D3B67" w:rsidP="00F0381D">
      <w:pPr>
        <w:rPr>
          <w:sz w:val="22"/>
          <w:szCs w:val="22"/>
          <w:lang w:eastAsia="en-CA"/>
        </w:rPr>
      </w:pPr>
      <w:r>
        <w:t>3.6 booking system</w:t>
      </w:r>
    </w:p>
    <w:p w14:paraId="7CB92F8B" w14:textId="77777777" w:rsidR="009D3B67" w:rsidRDefault="009D3B67" w:rsidP="00F0381D">
      <w:pPr>
        <w:rPr>
          <w:sz w:val="22"/>
          <w:szCs w:val="22"/>
          <w:lang w:eastAsia="en-CA"/>
        </w:rPr>
      </w:pPr>
      <w:r>
        <w:t>A system used by a transportation provider or platform to create, store, or manage a passenger’s reservation record, including accommodation-related information.</w:t>
      </w:r>
    </w:p>
    <w:p w14:paraId="6761F0FD" w14:textId="77777777" w:rsidR="009D3B67" w:rsidRDefault="009D3B67" w:rsidP="00F0381D">
      <w:pPr>
        <w:rPr>
          <w:sz w:val="22"/>
          <w:szCs w:val="22"/>
          <w:lang w:eastAsia="en-CA"/>
        </w:rPr>
      </w:pPr>
      <w:r>
        <w:rPr>
          <w:i/>
          <w:iCs/>
        </w:rPr>
        <w:t>NOTE:</w:t>
      </w:r>
      <w:r>
        <w:t xml:space="preserve"> Booking systems and reservation records are used to capture accommodation-related information under federal accessible transportation requirements (e.g., Accessible Transportation for Persons with Disabilities Regulations (SOR/2019-244)) and related Canadian Transportation Agency guidance.</w:t>
      </w:r>
    </w:p>
    <w:p w14:paraId="3366FFBD" w14:textId="77777777" w:rsidR="009D3B67" w:rsidRDefault="009D3B67" w:rsidP="00F0381D">
      <w:pPr>
        <w:rPr>
          <w:sz w:val="22"/>
          <w:szCs w:val="22"/>
          <w:lang w:eastAsia="en-CA"/>
        </w:rPr>
      </w:pPr>
      <w:r>
        <w:t>3.7 travel chain</w:t>
      </w:r>
    </w:p>
    <w:p w14:paraId="116DC9BC" w14:textId="77777777" w:rsidR="009D3B67" w:rsidRDefault="009D3B67" w:rsidP="00F0381D">
      <w:pPr>
        <w:rPr>
          <w:sz w:val="22"/>
          <w:szCs w:val="22"/>
          <w:lang w:eastAsia="en-CA"/>
        </w:rPr>
      </w:pPr>
      <w:r>
        <w:t>The sequence of interactions and service points involved in passenger travel (e.g., booking, check-in, security screening, border services where applicable, boarding, and inflight service).</w:t>
      </w:r>
    </w:p>
    <w:p w14:paraId="3BE0DD21" w14:textId="77777777" w:rsidR="009D3B67" w:rsidRDefault="009D3B67" w:rsidP="00F0381D">
      <w:pPr>
        <w:rPr>
          <w:sz w:val="22"/>
          <w:szCs w:val="22"/>
          <w:lang w:eastAsia="en-CA"/>
        </w:rPr>
      </w:pPr>
      <w:r>
        <w:rPr>
          <w:i/>
          <w:iCs/>
        </w:rPr>
        <w:lastRenderedPageBreak/>
        <w:t>NOTE:</w:t>
      </w:r>
      <w:r>
        <w:t xml:space="preserve"> The travel chain may include entities such as air carriers and airport operators, as well as screening and border agencies (e.g., CATSA and CBSA) where applicable.</w:t>
      </w:r>
    </w:p>
    <w:p w14:paraId="3C901ECB" w14:textId="77777777" w:rsidR="009D3B67" w:rsidRDefault="009D3B67" w:rsidP="00F0381D">
      <w:pPr>
        <w:rPr>
          <w:sz w:val="22"/>
          <w:szCs w:val="22"/>
          <w:lang w:eastAsia="en-CA"/>
        </w:rPr>
      </w:pPr>
      <w:r>
        <w:t>3.8 platform</w:t>
      </w:r>
    </w:p>
    <w:p w14:paraId="7FFA297C" w14:textId="77777777" w:rsidR="009D3B67" w:rsidRDefault="009D3B67" w:rsidP="00F0381D">
      <w:pPr>
        <w:rPr>
          <w:sz w:val="22"/>
          <w:szCs w:val="22"/>
          <w:lang w:eastAsia="en-CA"/>
        </w:rPr>
      </w:pPr>
      <w:r>
        <w:t>An organization or technology-enabled intermediary that matches passengers with transportation service providers (e.g., ride-share or dispatch systems) and may set policies, training, and performance management requirements for participating providers.</w:t>
      </w:r>
    </w:p>
    <w:p w14:paraId="3B166EC9" w14:textId="77777777" w:rsidR="009D3B67" w:rsidRDefault="009D3B67" w:rsidP="00F0381D">
      <w:pPr>
        <w:rPr>
          <w:sz w:val="22"/>
          <w:szCs w:val="22"/>
          <w:lang w:eastAsia="en-CA"/>
        </w:rPr>
      </w:pPr>
      <w:r>
        <w:rPr>
          <w:i/>
          <w:iCs/>
        </w:rPr>
        <w:t>NOTE:</w:t>
      </w:r>
      <w:r>
        <w:t xml:space="preserve"> Platform obligations may arise through applicable transportation, human rights, or consumer protection frameworks, depending on the jurisdiction.</w:t>
      </w:r>
    </w:p>
    <w:p w14:paraId="66A4EEDB" w14:textId="77777777" w:rsidR="009D3B67" w:rsidRDefault="009D3B67" w:rsidP="00F0381D">
      <w:pPr>
        <w:rPr>
          <w:sz w:val="22"/>
          <w:szCs w:val="22"/>
          <w:lang w:eastAsia="en-CA"/>
        </w:rPr>
      </w:pPr>
      <w:r>
        <w:t>3.9 guide dog lens</w:t>
      </w:r>
    </w:p>
    <w:p w14:paraId="606C3F98" w14:textId="77777777" w:rsidR="009D3B67" w:rsidRDefault="009D3B67" w:rsidP="00F0381D">
      <w:pPr>
        <w:rPr>
          <w:sz w:val="22"/>
          <w:szCs w:val="22"/>
          <w:lang w:eastAsia="en-CA"/>
        </w:rPr>
      </w:pPr>
      <w:r>
        <w:t>A structured review step used during the design or revision of policies, regulations, standards, or services to identify and remove barriers that could affect guide dog teams.</w:t>
      </w:r>
    </w:p>
    <w:p w14:paraId="33D0839C" w14:textId="77777777" w:rsidR="009D3B67" w:rsidRDefault="009D3B67" w:rsidP="00F0381D">
      <w:pPr>
        <w:rPr>
          <w:sz w:val="22"/>
          <w:szCs w:val="22"/>
          <w:lang w:eastAsia="en-CA"/>
        </w:rPr>
      </w:pPr>
      <w:r>
        <w:rPr>
          <w:i/>
          <w:iCs/>
        </w:rPr>
        <w:t>NOTE:</w:t>
      </w:r>
      <w:r>
        <w:t xml:space="preserve"> This concept is intended to support barrier identification and prevention across Accessible Canada Act priority areas when developing or revising regulations, standards, policies, or services.</w:t>
      </w:r>
    </w:p>
    <w:p w14:paraId="6155C5E5" w14:textId="77777777" w:rsidR="009D3B67" w:rsidRDefault="009D3B67" w:rsidP="00803D9D">
      <w:pPr>
        <w:pStyle w:val="Heading2"/>
        <w:rPr>
          <w:lang w:eastAsia="en-CA"/>
        </w:rPr>
      </w:pPr>
      <w:bookmarkStart w:id="186" w:name="_Toc228294116"/>
      <w:r>
        <w:lastRenderedPageBreak/>
        <w:t>Principles</w:t>
      </w:r>
      <w:bookmarkEnd w:id="186"/>
    </w:p>
    <w:p w14:paraId="3295D44F" w14:textId="77777777" w:rsidR="009D3B67" w:rsidRDefault="009D3B67" w:rsidP="00F0381D">
      <w:pPr>
        <w:rPr>
          <w:sz w:val="22"/>
          <w:szCs w:val="22"/>
          <w:lang w:eastAsia="en-CA"/>
        </w:rPr>
      </w:pPr>
      <w:r>
        <w:t xml:space="preserve">Guide dog access is a </w:t>
      </w:r>
      <w:r>
        <w:rPr>
          <w:b/>
          <w:bCs/>
        </w:rPr>
        <w:t>human rights</w:t>
      </w:r>
      <w:r>
        <w:t xml:space="preserve"> issue, not a discretionary service practice.</w:t>
      </w:r>
    </w:p>
    <w:p w14:paraId="38FEA6AD" w14:textId="77777777" w:rsidR="009D3B67" w:rsidRDefault="009D3B67" w:rsidP="00F0381D">
      <w:pPr>
        <w:rPr>
          <w:sz w:val="22"/>
          <w:szCs w:val="22"/>
          <w:lang w:eastAsia="en-CA"/>
        </w:rPr>
      </w:pPr>
      <w:r>
        <w:t xml:space="preserve">Public access determinations are intended to be </w:t>
      </w:r>
      <w:r>
        <w:rPr>
          <w:b/>
          <w:bCs/>
        </w:rPr>
        <w:t>behaviour</w:t>
      </w:r>
      <w:r>
        <w:rPr>
          <w:b/>
          <w:bCs/>
        </w:rPr>
        <w:noBreakHyphen/>
        <w:t>based</w:t>
      </w:r>
      <w:r>
        <w:t xml:space="preserve"> rather than document</w:t>
      </w:r>
      <w:r>
        <w:noBreakHyphen/>
        <w:t>based.</w:t>
      </w:r>
    </w:p>
    <w:p w14:paraId="1C4D1BBC" w14:textId="77777777" w:rsidR="009D3B67" w:rsidRDefault="009D3B67" w:rsidP="00F0381D">
      <w:pPr>
        <w:rPr>
          <w:sz w:val="22"/>
          <w:szCs w:val="22"/>
          <w:lang w:eastAsia="en-CA"/>
        </w:rPr>
      </w:pPr>
      <w:r>
        <w:t xml:space="preserve">Regulatory and standards processes are intended to avoid creating </w:t>
      </w:r>
      <w:r>
        <w:rPr>
          <w:b/>
          <w:bCs/>
        </w:rPr>
        <w:t>new barriers</w:t>
      </w:r>
      <w:r>
        <w:t xml:space="preserve"> through duplication, fragmentation, or unnecessary certification requirements.</w:t>
      </w:r>
    </w:p>
    <w:p w14:paraId="552DA974" w14:textId="77777777" w:rsidR="009D3B67" w:rsidRDefault="009D3B67" w:rsidP="00F0381D">
      <w:pPr>
        <w:rPr>
          <w:sz w:val="22"/>
          <w:szCs w:val="22"/>
          <w:lang w:eastAsia="en-CA"/>
        </w:rPr>
      </w:pPr>
      <w:r>
        <w:t xml:space="preserve">Enforcement mechanisms are intended to function as </w:t>
      </w:r>
      <w:r>
        <w:rPr>
          <w:b/>
          <w:bCs/>
        </w:rPr>
        <w:t>meaningful deterrents</w:t>
      </w:r>
      <w:r>
        <w:t>, not symbolic remedies.</w:t>
      </w:r>
    </w:p>
    <w:p w14:paraId="53CA9CC8" w14:textId="77777777" w:rsidR="009D3B67" w:rsidRDefault="009D3B67" w:rsidP="00F0381D">
      <w:pPr>
        <w:rPr>
          <w:sz w:val="22"/>
          <w:szCs w:val="22"/>
          <w:lang w:eastAsia="en-CA"/>
        </w:rPr>
      </w:pPr>
      <w:r>
        <w:t>Education and prevention are intended to be prioritized over individual complaint</w:t>
      </w:r>
      <w:r>
        <w:noBreakHyphen/>
        <w:t>driven recourse.</w:t>
      </w:r>
    </w:p>
    <w:p w14:paraId="1EED961A" w14:textId="77777777" w:rsidR="009D3B67" w:rsidRDefault="009D3B67" w:rsidP="00803D9D">
      <w:pPr>
        <w:pStyle w:val="Heading2"/>
        <w:rPr>
          <w:lang w:eastAsia="en-CA"/>
        </w:rPr>
      </w:pPr>
      <w:bookmarkStart w:id="187" w:name="_Toc228294117"/>
      <w:r>
        <w:t>Legal Recognition and Public Access Requirements</w:t>
      </w:r>
      <w:bookmarkEnd w:id="187"/>
    </w:p>
    <w:p w14:paraId="1BA41713" w14:textId="77777777" w:rsidR="009D3B67" w:rsidRPr="00394B28" w:rsidRDefault="009D3B67" w:rsidP="00F0381D">
      <w:r w:rsidRPr="00394B28">
        <w:t>5.1 Behaviour</w:t>
      </w:r>
      <w:r w:rsidRPr="00394B28">
        <w:noBreakHyphen/>
        <w:t>Based Access</w:t>
      </w:r>
    </w:p>
    <w:p w14:paraId="0115ED27" w14:textId="77777777" w:rsidR="009D3B67" w:rsidRDefault="009D3B67" w:rsidP="00F0381D">
      <w:pPr>
        <w:rPr>
          <w:sz w:val="22"/>
          <w:szCs w:val="22"/>
          <w:lang w:eastAsia="en-CA"/>
        </w:rPr>
      </w:pPr>
      <w:r>
        <w:lastRenderedPageBreak/>
        <w:t>5.1.1 Jurisdictions shall recognize guide dog teams based on observable working behaviour and handler control.</w:t>
      </w:r>
    </w:p>
    <w:p w14:paraId="41379BF4" w14:textId="77777777" w:rsidR="009D3B67" w:rsidRDefault="009D3B67" w:rsidP="00F0381D">
      <w:pPr>
        <w:rPr>
          <w:sz w:val="22"/>
          <w:szCs w:val="22"/>
          <w:lang w:eastAsia="en-CA"/>
        </w:rPr>
      </w:pPr>
      <w:r>
        <w:t>5.1.2 Public access shall not be contingent on presentation of identification cards, certificates, vests, or documentation.</w:t>
      </w:r>
    </w:p>
    <w:p w14:paraId="0D66AE9F" w14:textId="77777777" w:rsidR="009D3B67" w:rsidRDefault="009D3B67" w:rsidP="00F0381D">
      <w:pPr>
        <w:rPr>
          <w:sz w:val="22"/>
          <w:szCs w:val="22"/>
          <w:lang w:eastAsia="en-CA"/>
        </w:rPr>
      </w:pPr>
      <w:r>
        <w:t>5.1.3 Removal of a guide dog shall be permitted only when the dog:</w:t>
      </w:r>
    </w:p>
    <w:p w14:paraId="3745B393" w14:textId="77777777" w:rsidR="009D3B67" w:rsidRPr="00394B28" w:rsidRDefault="009D3B67">
      <w:pPr>
        <w:pStyle w:val="ListParagraph"/>
        <w:numPr>
          <w:ilvl w:val="0"/>
          <w:numId w:val="6"/>
        </w:numPr>
      </w:pPr>
      <w:r w:rsidRPr="00394B28">
        <w:t>is not under control,</w:t>
      </w:r>
    </w:p>
    <w:p w14:paraId="0806CF85" w14:textId="77777777" w:rsidR="009D3B67" w:rsidRPr="00394B28" w:rsidRDefault="009D3B67">
      <w:pPr>
        <w:pStyle w:val="ListParagraph"/>
        <w:numPr>
          <w:ilvl w:val="0"/>
          <w:numId w:val="6"/>
        </w:numPr>
      </w:pPr>
      <w:r w:rsidRPr="00394B28">
        <w:t>is not housebroken, or</w:t>
      </w:r>
    </w:p>
    <w:p w14:paraId="0853CEE0" w14:textId="77777777" w:rsidR="009D3B67" w:rsidRPr="00394B28" w:rsidRDefault="009D3B67">
      <w:pPr>
        <w:pStyle w:val="ListParagraph"/>
        <w:numPr>
          <w:ilvl w:val="0"/>
          <w:numId w:val="6"/>
        </w:numPr>
      </w:pPr>
      <w:r w:rsidRPr="00394B28">
        <w:t>poses a legitimate safety risk.</w:t>
      </w:r>
    </w:p>
    <w:p w14:paraId="12342BA3" w14:textId="77777777" w:rsidR="009D3B67" w:rsidRPr="00394B28" w:rsidRDefault="009D3B67" w:rsidP="00F0381D">
      <w:r w:rsidRPr="00394B28">
        <w:t>5.2 Owner</w:t>
      </w:r>
      <w:r w:rsidRPr="00394B28">
        <w:noBreakHyphen/>
        <w:t>Trained Guide Dogs</w:t>
      </w:r>
    </w:p>
    <w:p w14:paraId="767AD1E5" w14:textId="77777777" w:rsidR="009D3B67" w:rsidRDefault="009D3B67" w:rsidP="00F0381D">
      <w:pPr>
        <w:rPr>
          <w:sz w:val="22"/>
          <w:szCs w:val="22"/>
          <w:lang w:eastAsia="en-CA"/>
        </w:rPr>
      </w:pPr>
      <w:r>
        <w:t>5.2.1 Owner</w:t>
      </w:r>
      <w:r>
        <w:noBreakHyphen/>
        <w:t>trained guide dog teams shall have the same public access rights and obligations as program</w:t>
      </w:r>
      <w:r>
        <w:noBreakHyphen/>
        <w:t>trained teams.</w:t>
      </w:r>
    </w:p>
    <w:p w14:paraId="60D33B8B" w14:textId="77777777" w:rsidR="009D3B67" w:rsidRDefault="009D3B67" w:rsidP="00F0381D">
      <w:pPr>
        <w:rPr>
          <w:sz w:val="22"/>
          <w:szCs w:val="22"/>
          <w:lang w:eastAsia="en-CA"/>
        </w:rPr>
      </w:pPr>
      <w:r>
        <w:t>5.2.2 Jurisdictions shall not establish separate certification or assessment regimes that apply uniquely to owner</w:t>
      </w:r>
      <w:r>
        <w:noBreakHyphen/>
        <w:t>trained guide dogs.</w:t>
      </w:r>
    </w:p>
    <w:p w14:paraId="22A03F5B" w14:textId="77777777" w:rsidR="009D3B67" w:rsidRDefault="009D3B67" w:rsidP="00F0381D">
      <w:pPr>
        <w:rPr>
          <w:sz w:val="22"/>
          <w:szCs w:val="22"/>
          <w:lang w:eastAsia="en-CA"/>
        </w:rPr>
      </w:pPr>
      <w:r>
        <w:t>5.2.3 Guidance to businesses shall emphasize behaviour</w:t>
      </w:r>
      <w:r>
        <w:noBreakHyphen/>
        <w:t>based assessment rather than proof</w:t>
      </w:r>
      <w:r>
        <w:noBreakHyphen/>
        <w:t>based gatekeeping.</w:t>
      </w:r>
    </w:p>
    <w:p w14:paraId="78AB4332" w14:textId="77777777" w:rsidR="009D3B67" w:rsidRDefault="009D3B67" w:rsidP="00803D9D">
      <w:pPr>
        <w:pStyle w:val="Heading2"/>
        <w:rPr>
          <w:lang w:eastAsia="en-CA"/>
        </w:rPr>
      </w:pPr>
      <w:bookmarkStart w:id="188" w:name="_Toc228294118"/>
      <w:r>
        <w:t>Transportation Systems Requirements</w:t>
      </w:r>
      <w:bookmarkEnd w:id="188"/>
    </w:p>
    <w:p w14:paraId="5D3DDDC2" w14:textId="77777777" w:rsidR="009D3B67" w:rsidRPr="00394B28" w:rsidRDefault="009D3B67" w:rsidP="00F0381D">
      <w:r w:rsidRPr="00394B28">
        <w:t>6.1 Air Travel Documentation</w:t>
      </w:r>
    </w:p>
    <w:p w14:paraId="29713A6A" w14:textId="77777777" w:rsidR="009D3B67" w:rsidRDefault="009D3B67" w:rsidP="00F0381D">
      <w:pPr>
        <w:rPr>
          <w:sz w:val="22"/>
          <w:szCs w:val="22"/>
          <w:lang w:eastAsia="en-CA"/>
        </w:rPr>
      </w:pPr>
      <w:r>
        <w:lastRenderedPageBreak/>
        <w:t>6.1.1 The Canadian Transportation Agency shall require a single standardized form for passengers who are blind, Deafblind, or partially sighted, including those travelling with guide dogs.</w:t>
      </w:r>
    </w:p>
    <w:p w14:paraId="77DAAD4D" w14:textId="77777777" w:rsidR="009D3B67" w:rsidRDefault="009D3B67" w:rsidP="00F0381D">
      <w:pPr>
        <w:rPr>
          <w:sz w:val="22"/>
          <w:szCs w:val="22"/>
          <w:lang w:eastAsia="en-CA"/>
        </w:rPr>
      </w:pPr>
      <w:r>
        <w:t>6.1.2 With passenger consent, documentation shall be retained on file for a minimum of three years.</w:t>
      </w:r>
    </w:p>
    <w:p w14:paraId="1B37570A" w14:textId="77777777" w:rsidR="009D3B67" w:rsidRDefault="009D3B67" w:rsidP="00F0381D">
      <w:pPr>
        <w:rPr>
          <w:sz w:val="22"/>
          <w:szCs w:val="22"/>
          <w:lang w:eastAsia="en-CA"/>
        </w:rPr>
      </w:pPr>
      <w:r>
        <w:t>6.1.3 Documentation submission shall be streamlined using digital systems.</w:t>
      </w:r>
    </w:p>
    <w:p w14:paraId="3512DC0C" w14:textId="77777777" w:rsidR="009D3B67" w:rsidRDefault="009D3B67" w:rsidP="00F0381D">
      <w:pPr>
        <w:rPr>
          <w:sz w:val="22"/>
          <w:szCs w:val="22"/>
          <w:lang w:eastAsia="en-CA"/>
        </w:rPr>
      </w:pPr>
      <w:r>
        <w:rPr>
          <w:i/>
          <w:iCs/>
        </w:rPr>
        <w:t>NOTE:</w:t>
      </w:r>
      <w:r>
        <w:t xml:space="preserve"> Streamlined digital submission may include, for example, app-based submission and/or linkage of documentation to a passenger’s frequent flyer number, where available.</w:t>
      </w:r>
    </w:p>
    <w:p w14:paraId="2F9081CA" w14:textId="77777777" w:rsidR="009D3B67" w:rsidRDefault="009D3B67" w:rsidP="00F0381D">
      <w:pPr>
        <w:rPr>
          <w:sz w:val="22"/>
          <w:szCs w:val="22"/>
          <w:lang w:eastAsia="en-CA"/>
        </w:rPr>
      </w:pPr>
      <w:r>
        <w:t>6.1.4 Documentation updates shall be required only when circumstances change.</w:t>
      </w:r>
    </w:p>
    <w:p w14:paraId="55CFFC85" w14:textId="77777777" w:rsidR="009D3B67" w:rsidRPr="00394B28" w:rsidRDefault="009D3B67" w:rsidP="00F0381D">
      <w:r w:rsidRPr="00394B28">
        <w:t>6.2 Information Continuity</w:t>
      </w:r>
    </w:p>
    <w:p w14:paraId="271767DD" w14:textId="77777777" w:rsidR="009D3B67" w:rsidRDefault="009D3B67" w:rsidP="00F0381D">
      <w:pPr>
        <w:rPr>
          <w:sz w:val="22"/>
          <w:szCs w:val="22"/>
          <w:lang w:eastAsia="en-CA"/>
        </w:rPr>
      </w:pPr>
      <w:r>
        <w:t>6.2.1 Disability</w:t>
      </w:r>
      <w:r>
        <w:noBreakHyphen/>
        <w:t>related needs recorded in booking systems shall be accessible to relevant personnel across the travel chain, subject to privacy safeguards.</w:t>
      </w:r>
    </w:p>
    <w:p w14:paraId="47F85231" w14:textId="77777777" w:rsidR="009D3B67" w:rsidRDefault="009D3B67" w:rsidP="00F0381D">
      <w:pPr>
        <w:rPr>
          <w:sz w:val="22"/>
          <w:szCs w:val="22"/>
          <w:lang w:eastAsia="en-CA"/>
        </w:rPr>
      </w:pPr>
      <w:r>
        <w:t>6.2.2 Transportation systems shall minimize repeated disclosure at handoff points.</w:t>
      </w:r>
    </w:p>
    <w:p w14:paraId="1C75F187" w14:textId="77777777" w:rsidR="009D3B67" w:rsidRPr="00394B28" w:rsidRDefault="009D3B67" w:rsidP="00F0381D">
      <w:r w:rsidRPr="00394B28">
        <w:lastRenderedPageBreak/>
        <w:t>6.3 Training and Monitoring</w:t>
      </w:r>
    </w:p>
    <w:p w14:paraId="73BF85B5" w14:textId="77777777" w:rsidR="009D3B67" w:rsidRDefault="009D3B67" w:rsidP="00F0381D">
      <w:pPr>
        <w:rPr>
          <w:sz w:val="22"/>
          <w:szCs w:val="22"/>
          <w:lang w:eastAsia="en-CA"/>
        </w:rPr>
      </w:pPr>
      <w:r>
        <w:t>6.3.1 Personnel across the air travel ecosystem shall receive mandatory training on guide dog access rights and needs.</w:t>
      </w:r>
    </w:p>
    <w:p w14:paraId="15795D67" w14:textId="77777777" w:rsidR="009D3B67" w:rsidRDefault="009D3B67" w:rsidP="00F0381D">
      <w:pPr>
        <w:rPr>
          <w:sz w:val="22"/>
          <w:szCs w:val="22"/>
          <w:lang w:eastAsia="en-CA"/>
        </w:rPr>
      </w:pPr>
      <w:r>
        <w:t>6.3.2 The Canadian Transportation Agency shall conduct regular compliance audits.</w:t>
      </w:r>
    </w:p>
    <w:p w14:paraId="6C00FA94" w14:textId="77777777" w:rsidR="009D3B67" w:rsidRPr="00394B28" w:rsidRDefault="009D3B67" w:rsidP="00F0381D">
      <w:r w:rsidRPr="00394B28">
        <w:t>6.4 Taxi and Ride</w:t>
      </w:r>
      <w:r w:rsidRPr="00394B28">
        <w:noBreakHyphen/>
        <w:t>Share Services</w:t>
      </w:r>
    </w:p>
    <w:p w14:paraId="7C99E883" w14:textId="77777777" w:rsidR="009D3B67" w:rsidRDefault="009D3B67" w:rsidP="00F0381D">
      <w:pPr>
        <w:rPr>
          <w:sz w:val="22"/>
          <w:szCs w:val="22"/>
          <w:lang w:eastAsia="en-CA"/>
        </w:rPr>
      </w:pPr>
      <w:r>
        <w:t>6.4.1 Taxi and ride</w:t>
      </w:r>
      <w:r>
        <w:noBreakHyphen/>
        <w:t>share providers shall enforce zero</w:t>
      </w:r>
      <w:r>
        <w:noBreakHyphen/>
        <w:t>tolerance policies for access refusals involving guide dog teams.</w:t>
      </w:r>
    </w:p>
    <w:p w14:paraId="3779E765" w14:textId="77777777" w:rsidR="009D3B67" w:rsidRDefault="009D3B67" w:rsidP="00F0381D">
      <w:pPr>
        <w:rPr>
          <w:sz w:val="22"/>
          <w:szCs w:val="22"/>
          <w:lang w:eastAsia="en-CA"/>
        </w:rPr>
      </w:pPr>
      <w:r>
        <w:t>6.4.2 Drivers shall receive training addressing guide dog rights and lawful handling of allergy</w:t>
      </w:r>
      <w:r>
        <w:noBreakHyphen/>
        <w:t>related issues.</w:t>
      </w:r>
    </w:p>
    <w:p w14:paraId="5AAEE6A1" w14:textId="77777777" w:rsidR="009D3B67" w:rsidRDefault="009D3B67" w:rsidP="00F0381D">
      <w:pPr>
        <w:rPr>
          <w:sz w:val="22"/>
          <w:szCs w:val="22"/>
          <w:lang w:eastAsia="en-CA"/>
        </w:rPr>
      </w:pPr>
      <w:r>
        <w:t>6.4.3 Platforms may allow optional disclosure by guide dog handlers but shall not require it as a condition of service.</w:t>
      </w:r>
    </w:p>
    <w:p w14:paraId="02D29FA2" w14:textId="77777777" w:rsidR="009D3B67" w:rsidRPr="00394B28" w:rsidRDefault="009D3B67" w:rsidP="00F0381D">
      <w:r w:rsidRPr="00394B28">
        <w:t>6.5 Platform Accountability</w:t>
      </w:r>
    </w:p>
    <w:p w14:paraId="6542C7F7" w14:textId="77777777" w:rsidR="009D3B67" w:rsidRDefault="009D3B67" w:rsidP="00F0381D">
      <w:pPr>
        <w:rPr>
          <w:sz w:val="22"/>
          <w:szCs w:val="22"/>
          <w:lang w:eastAsia="en-CA"/>
        </w:rPr>
      </w:pPr>
      <w:r>
        <w:t>6.5.1 Ride</w:t>
      </w:r>
      <w:r>
        <w:noBreakHyphen/>
        <w:t>share platforms shall collect and monitor metrics on refusals and cancellations, including those attributed to allergies or religion.</w:t>
      </w:r>
    </w:p>
    <w:p w14:paraId="4DFE3ED3" w14:textId="77777777" w:rsidR="009D3B67" w:rsidRDefault="009D3B67" w:rsidP="00F0381D">
      <w:pPr>
        <w:rPr>
          <w:sz w:val="22"/>
          <w:szCs w:val="22"/>
          <w:lang w:eastAsia="en-CA"/>
        </w:rPr>
      </w:pPr>
      <w:r>
        <w:t>6.5.2 Metrics shall be used to inform enforcement, training, and system improvements.</w:t>
      </w:r>
    </w:p>
    <w:p w14:paraId="2DBD0B4E" w14:textId="77777777" w:rsidR="009D3B67" w:rsidRDefault="009D3B67" w:rsidP="00803D9D">
      <w:pPr>
        <w:pStyle w:val="Heading2"/>
        <w:rPr>
          <w:lang w:eastAsia="en-CA"/>
        </w:rPr>
      </w:pPr>
      <w:bookmarkStart w:id="189" w:name="_Toc228294119"/>
      <w:r>
        <w:lastRenderedPageBreak/>
        <w:t>Standards Development Boundaries</w:t>
      </w:r>
      <w:bookmarkEnd w:id="189"/>
    </w:p>
    <w:p w14:paraId="48678355" w14:textId="77777777" w:rsidR="009D3B67" w:rsidRDefault="009D3B67" w:rsidP="00F0381D">
      <w:pPr>
        <w:rPr>
          <w:sz w:val="22"/>
          <w:szCs w:val="22"/>
          <w:lang w:eastAsia="en-CA"/>
        </w:rPr>
      </w:pPr>
      <w:r>
        <w:t>7.1 Standards bodies shall not develop standards regulating guide dog training, care, or behaviour where IGDF or ADI standards already apply.</w:t>
      </w:r>
    </w:p>
    <w:p w14:paraId="46261F1B" w14:textId="77777777" w:rsidR="009D3B67" w:rsidRDefault="009D3B67" w:rsidP="00F0381D">
      <w:pPr>
        <w:rPr>
          <w:sz w:val="22"/>
          <w:szCs w:val="22"/>
          <w:lang w:eastAsia="en-CA"/>
        </w:rPr>
      </w:pPr>
      <w:r>
        <w:t>7.2 Regulations and standards under the Accessible Canada Act shall apply a “guide dog lens” to identify and remove barriers prior to finalization.</w:t>
      </w:r>
    </w:p>
    <w:p w14:paraId="3F8436BC" w14:textId="77777777" w:rsidR="009D3B67" w:rsidRDefault="009D3B67" w:rsidP="00803D9D">
      <w:pPr>
        <w:pStyle w:val="Heading2"/>
        <w:rPr>
          <w:lang w:eastAsia="en-CA"/>
        </w:rPr>
      </w:pPr>
      <w:bookmarkStart w:id="190" w:name="_Toc228294120"/>
      <w:r>
        <w:t>Enforcement and Penalty Requirements</w:t>
      </w:r>
      <w:bookmarkEnd w:id="190"/>
    </w:p>
    <w:p w14:paraId="4E34A1AA" w14:textId="77777777" w:rsidR="009D3B67" w:rsidRPr="00394B28" w:rsidRDefault="009D3B67" w:rsidP="00F0381D">
      <w:r w:rsidRPr="00394B28">
        <w:t>8.1 Penalty Design</w:t>
      </w:r>
    </w:p>
    <w:p w14:paraId="542AC8A7" w14:textId="77777777" w:rsidR="009D3B67" w:rsidRDefault="009D3B67" w:rsidP="00F0381D">
      <w:pPr>
        <w:rPr>
          <w:sz w:val="22"/>
          <w:szCs w:val="22"/>
          <w:lang w:eastAsia="en-CA"/>
        </w:rPr>
      </w:pPr>
      <w:r>
        <w:t>8.1.1 Penalties for access refusals shall function as meaningful deterrents.</w:t>
      </w:r>
    </w:p>
    <w:p w14:paraId="08609CF7" w14:textId="77777777" w:rsidR="009D3B67" w:rsidRDefault="009D3B67" w:rsidP="00F0381D">
      <w:pPr>
        <w:rPr>
          <w:sz w:val="22"/>
          <w:szCs w:val="22"/>
          <w:lang w:eastAsia="en-CA"/>
        </w:rPr>
      </w:pPr>
      <w:r>
        <w:t>8.1.2 First</w:t>
      </w:r>
      <w:r>
        <w:noBreakHyphen/>
        <w:t>offence penalties should not be less than $25,000.</w:t>
      </w:r>
    </w:p>
    <w:p w14:paraId="7D727197" w14:textId="77777777" w:rsidR="009D3B67" w:rsidRDefault="009D3B67" w:rsidP="00F0381D">
      <w:pPr>
        <w:rPr>
          <w:sz w:val="22"/>
          <w:szCs w:val="22"/>
          <w:lang w:eastAsia="en-CA"/>
        </w:rPr>
      </w:pPr>
      <w:r>
        <w:t>8.1.3 Subsequent penalties should not be less than $40,000.</w:t>
      </w:r>
    </w:p>
    <w:p w14:paraId="2A7CA119" w14:textId="77777777" w:rsidR="009D3B67" w:rsidRDefault="009D3B67" w:rsidP="00F0381D">
      <w:pPr>
        <w:rPr>
          <w:sz w:val="22"/>
          <w:szCs w:val="22"/>
          <w:lang w:eastAsia="en-CA"/>
        </w:rPr>
      </w:pPr>
      <w:r>
        <w:t>8.1.4 Guilty</w:t>
      </w:r>
      <w:r>
        <w:noBreakHyphen/>
        <w:t>plea fines shall not fall below $5,000.</w:t>
      </w:r>
    </w:p>
    <w:p w14:paraId="0A3CFDA6" w14:textId="77777777" w:rsidR="009D3B67" w:rsidRDefault="009D3B67" w:rsidP="00F0381D">
      <w:pPr>
        <w:rPr>
          <w:sz w:val="22"/>
          <w:szCs w:val="22"/>
          <w:lang w:eastAsia="en-CA"/>
        </w:rPr>
      </w:pPr>
      <w:r>
        <w:rPr>
          <w:i/>
          <w:iCs/>
        </w:rPr>
        <w:t>NOTE:</w:t>
      </w:r>
      <w:r>
        <w:t xml:space="preserve"> In developing penalty levels that function as meaningful deterrents, jurisdictions may consider existing approaches in provinces with guide dog access legislation (e.g., British Columbia, Alberta, Ontario, Nova </w:t>
      </w:r>
      <w:r>
        <w:lastRenderedPageBreak/>
        <w:t>Scotia) and may also consider international comparators discussed in policy development.</w:t>
      </w:r>
    </w:p>
    <w:p w14:paraId="60DB7A4E" w14:textId="77777777" w:rsidR="009D3B67" w:rsidRPr="00394B28" w:rsidRDefault="009D3B67" w:rsidP="00F0381D">
      <w:r w:rsidRPr="00394B28">
        <w:t>8.2 Police Training</w:t>
      </w:r>
    </w:p>
    <w:p w14:paraId="5EEFFA98" w14:textId="77777777" w:rsidR="009D3B67" w:rsidRDefault="009D3B67" w:rsidP="00F0381D">
      <w:pPr>
        <w:rPr>
          <w:sz w:val="22"/>
          <w:szCs w:val="22"/>
          <w:lang w:eastAsia="en-CA"/>
        </w:rPr>
      </w:pPr>
      <w:r>
        <w:t>8.2.1 Police services responsible for enforcement shall receive mandatory training on guide dog access legislation.</w:t>
      </w:r>
    </w:p>
    <w:p w14:paraId="376D8784" w14:textId="77777777" w:rsidR="009D3B67" w:rsidRDefault="009D3B67" w:rsidP="00F0381D">
      <w:pPr>
        <w:rPr>
          <w:sz w:val="22"/>
          <w:szCs w:val="22"/>
          <w:lang w:eastAsia="en-CA"/>
        </w:rPr>
      </w:pPr>
      <w:r>
        <w:t>8.2.2 Training shall be developed with guide dog community participation and evaluated annually.</w:t>
      </w:r>
    </w:p>
    <w:p w14:paraId="7FF494D0" w14:textId="77777777" w:rsidR="009D3B67" w:rsidRDefault="009D3B67" w:rsidP="00803D9D">
      <w:pPr>
        <w:pStyle w:val="Heading2"/>
        <w:rPr>
          <w:lang w:eastAsia="en-CA"/>
        </w:rPr>
      </w:pPr>
      <w:bookmarkStart w:id="191" w:name="_Toc228294121"/>
      <w:r>
        <w:t>Human Rights and Competing Rights Resolution</w:t>
      </w:r>
      <w:bookmarkEnd w:id="191"/>
    </w:p>
    <w:p w14:paraId="64FDE2CD" w14:textId="77777777" w:rsidR="009D3B67" w:rsidRDefault="009D3B67" w:rsidP="00F0381D">
      <w:pPr>
        <w:rPr>
          <w:sz w:val="22"/>
          <w:szCs w:val="22"/>
          <w:lang w:eastAsia="en-CA"/>
        </w:rPr>
      </w:pPr>
      <w:r>
        <w:t>9.1 Human rights complaint processes shall be accessible, simplified, and expedited for guide dog access cases.</w:t>
      </w:r>
    </w:p>
    <w:p w14:paraId="7AF2BA65" w14:textId="77777777" w:rsidR="009D3B67" w:rsidRDefault="009D3B67" w:rsidP="00F0381D">
      <w:pPr>
        <w:rPr>
          <w:sz w:val="22"/>
          <w:szCs w:val="22"/>
          <w:lang w:eastAsia="en-CA"/>
        </w:rPr>
      </w:pPr>
      <w:r>
        <w:t>9.2 Tribunals shall not rely primarily on visual evidence and shall permit alternative credible evidence.</w:t>
      </w:r>
    </w:p>
    <w:p w14:paraId="4CE5B26C" w14:textId="77777777" w:rsidR="009D3B67" w:rsidRDefault="009D3B67" w:rsidP="00F0381D">
      <w:pPr>
        <w:rPr>
          <w:sz w:val="22"/>
          <w:szCs w:val="22"/>
          <w:lang w:eastAsia="en-CA"/>
        </w:rPr>
      </w:pPr>
      <w:r>
        <w:t>9.3 Systems shall support advance accommodation planning for verified severe allergies without defaulting to access denial.</w:t>
      </w:r>
    </w:p>
    <w:p w14:paraId="22FAAB48" w14:textId="77777777" w:rsidR="009D3B67" w:rsidRDefault="009D3B67" w:rsidP="00F0381D">
      <w:pPr>
        <w:rPr>
          <w:sz w:val="22"/>
          <w:szCs w:val="22"/>
          <w:lang w:eastAsia="en-CA"/>
        </w:rPr>
      </w:pPr>
      <w:r>
        <w:t>9.4 The Canadian Human Rights Commission shall convene provincial and territorial bodies to establish a coordinated pan</w:t>
      </w:r>
      <w:r>
        <w:noBreakHyphen/>
        <w:t>Canadian strategy.</w:t>
      </w:r>
    </w:p>
    <w:p w14:paraId="0589BF07" w14:textId="77777777" w:rsidR="009D3B67" w:rsidRDefault="009D3B67" w:rsidP="00803D9D">
      <w:pPr>
        <w:pStyle w:val="Heading2"/>
        <w:rPr>
          <w:lang w:eastAsia="en-CA"/>
        </w:rPr>
      </w:pPr>
      <w:bookmarkStart w:id="192" w:name="_Toc228294122"/>
      <w:r>
        <w:lastRenderedPageBreak/>
        <w:t>Public and Professional Education</w:t>
      </w:r>
      <w:bookmarkEnd w:id="192"/>
    </w:p>
    <w:p w14:paraId="1072292B" w14:textId="77777777" w:rsidR="009D3B67" w:rsidRDefault="009D3B67" w:rsidP="00F0381D">
      <w:pPr>
        <w:rPr>
          <w:sz w:val="22"/>
          <w:szCs w:val="22"/>
          <w:lang w:eastAsia="en-CA"/>
        </w:rPr>
      </w:pPr>
      <w:r>
        <w:t>10.1 Governments shall deliver sustained education to businesses and service providers on guide dog rights.</w:t>
      </w:r>
    </w:p>
    <w:p w14:paraId="06A1FDE3" w14:textId="77777777" w:rsidR="009D3B67" w:rsidRDefault="009D3B67" w:rsidP="00F0381D">
      <w:pPr>
        <w:rPr>
          <w:sz w:val="22"/>
          <w:szCs w:val="22"/>
          <w:lang w:eastAsia="en-CA"/>
        </w:rPr>
      </w:pPr>
      <w:r>
        <w:t>10.2 Public education shall emphasize behaviour</w:t>
      </w:r>
      <w:r>
        <w:noBreakHyphen/>
        <w:t>based identification rather than documentation.</w:t>
      </w:r>
    </w:p>
    <w:p w14:paraId="0F95A7D6" w14:textId="77777777" w:rsidR="009D3B67" w:rsidRDefault="009D3B67" w:rsidP="00F0381D">
      <w:pPr>
        <w:rPr>
          <w:sz w:val="22"/>
          <w:szCs w:val="22"/>
          <w:lang w:eastAsia="en-CA"/>
        </w:rPr>
      </w:pPr>
      <w:r>
        <w:t>10.3 The Government of Canada shall fund a national public education campaign developed with the guide dog community and supported by an evaluation framework.</w:t>
      </w:r>
    </w:p>
    <w:p w14:paraId="7B548352" w14:textId="77777777" w:rsidR="009D3B67" w:rsidRDefault="009D3B67" w:rsidP="00F0381D">
      <w:pPr>
        <w:rPr>
          <w:sz w:val="22"/>
          <w:szCs w:val="22"/>
          <w:lang w:eastAsia="en-CA"/>
        </w:rPr>
      </w:pPr>
      <w:r>
        <w:rPr>
          <w:i/>
          <w:iCs/>
        </w:rPr>
        <w:t>NOTE:</w:t>
      </w:r>
      <w:r>
        <w:t xml:space="preserve"> Sustained public education campaigns may be modelled on long-running initiatives (e.g., Mothers Against Drunk Driving), adapted to the guide dog access context.</w:t>
      </w:r>
    </w:p>
    <w:p w14:paraId="13A8A983" w14:textId="77777777" w:rsidR="00F34823" w:rsidRDefault="00F34823">
      <w:pPr>
        <w:rPr>
          <w:lang w:eastAsia="en-CA"/>
        </w:rPr>
      </w:pPr>
      <w:bookmarkStart w:id="193" w:name="_Toc228294123"/>
      <w:r>
        <w:t>10.4 Guide dog content shall be integrated into primary, secondary, and relevant post-secondary curricula.</w:t>
      </w:r>
    </w:p>
    <w:p w14:paraId="2BE57B0A" w14:textId="77777777" w:rsidR="009D3B67" w:rsidRDefault="009D3B67" w:rsidP="00803D9D">
      <w:pPr>
        <w:pStyle w:val="Heading2"/>
        <w:rPr>
          <w:lang w:eastAsia="en-CA"/>
        </w:rPr>
      </w:pPr>
      <w:r>
        <w:t>Safety in Public Space (Driving Laws)</w:t>
      </w:r>
      <w:bookmarkEnd w:id="193"/>
    </w:p>
    <w:p w14:paraId="48BD9895" w14:textId="77777777" w:rsidR="00447717" w:rsidRDefault="00447717">
      <w:pPr>
        <w:rPr>
          <w:lang w:eastAsia="en-CA"/>
        </w:rPr>
      </w:pPr>
      <w:r>
        <w:t>11.1 Provinces and territories shall consider adopting legislation analogous to U.S. white cane and guide dog right-of-way laws.</w:t>
      </w:r>
    </w:p>
    <w:p w14:paraId="34EA4546" w14:textId="77777777" w:rsidR="009D3B67" w:rsidRDefault="009D3B67" w:rsidP="00F0381D">
      <w:pPr>
        <w:rPr>
          <w:sz w:val="22"/>
          <w:szCs w:val="22"/>
          <w:lang w:eastAsia="en-CA"/>
        </w:rPr>
      </w:pPr>
      <w:r>
        <w:lastRenderedPageBreak/>
        <w:t>11.2 Legislative drafting shall be undertaken collaboratively to support consistency across jurisdictions.</w:t>
      </w:r>
    </w:p>
    <w:p w14:paraId="1A705816" w14:textId="77777777" w:rsidR="009D3B67" w:rsidRDefault="009D3B67" w:rsidP="00803D9D">
      <w:pPr>
        <w:pStyle w:val="Heading2"/>
        <w:rPr>
          <w:lang w:eastAsia="en-CA"/>
        </w:rPr>
      </w:pPr>
      <w:bookmarkStart w:id="194" w:name="_Toc228294124"/>
      <w:r>
        <w:t>Conformance</w:t>
      </w:r>
      <w:bookmarkEnd w:id="194"/>
    </w:p>
    <w:p w14:paraId="62F00CAC" w14:textId="77777777" w:rsidR="009D3B67" w:rsidRPr="00394B28" w:rsidRDefault="009D3B67" w:rsidP="00F0381D">
      <w:r w:rsidRPr="00394B28">
        <w:t>Conformance with this standard is achieved when an organization demonstrates:</w:t>
      </w:r>
    </w:p>
    <w:p w14:paraId="2E2303AB" w14:textId="77777777" w:rsidR="009D3B67" w:rsidRDefault="009D3B67">
      <w:pPr>
        <w:pStyle w:val="ListParagraph"/>
        <w:numPr>
          <w:ilvl w:val="0"/>
          <w:numId w:val="7"/>
        </w:numPr>
        <w:rPr>
          <w:lang w:eastAsia="en-CA"/>
        </w:rPr>
      </w:pPr>
      <w:r>
        <w:t>documented policies aligned with all shall requirements, and</w:t>
      </w:r>
    </w:p>
    <w:p w14:paraId="10508127" w14:textId="77777777" w:rsidR="009D3B67" w:rsidRPr="00394B28" w:rsidRDefault="009D3B67">
      <w:pPr>
        <w:pStyle w:val="ListParagraph"/>
        <w:numPr>
          <w:ilvl w:val="0"/>
          <w:numId w:val="7"/>
        </w:numPr>
      </w:pPr>
      <w:r w:rsidRPr="00394B28">
        <w:t>operational evidence that requirements are implemented and enforced.</w:t>
      </w:r>
    </w:p>
    <w:p w14:paraId="7B777A53" w14:textId="18401474" w:rsidR="009D3B67" w:rsidRDefault="009D3B67" w:rsidP="00803D9D">
      <w:pPr>
        <w:pStyle w:val="Heading2"/>
        <w:rPr>
          <w:lang w:eastAsia="en-CA"/>
        </w:rPr>
      </w:pPr>
      <w:bookmarkStart w:id="195" w:name="_Toc228294125"/>
      <w:r>
        <w:t>Annex A (informative) — International and European references</w:t>
      </w:r>
      <w:bookmarkEnd w:id="195"/>
    </w:p>
    <w:p w14:paraId="319CB518" w14:textId="77777777" w:rsidR="009D3B67" w:rsidRDefault="009D3B67" w:rsidP="00F0381D">
      <w:pPr>
        <w:rPr>
          <w:sz w:val="22"/>
          <w:szCs w:val="22"/>
          <w:lang w:eastAsia="en-CA"/>
        </w:rPr>
      </w:pPr>
      <w:r>
        <w:t>This annex lists international and European references that may be consulted as comparators or sources of implementation insight. The references in this annex are informative and are not required to demonstrate conformance with this document.</w:t>
      </w:r>
    </w:p>
    <w:p w14:paraId="63DC25C5" w14:textId="77777777" w:rsidR="009D3B67" w:rsidRDefault="009D3B67">
      <w:pPr>
        <w:pStyle w:val="ListParagraph"/>
        <w:numPr>
          <w:ilvl w:val="0"/>
          <w:numId w:val="8"/>
        </w:numPr>
        <w:rPr>
          <w:lang w:eastAsia="en-CA"/>
        </w:rPr>
      </w:pPr>
      <w:r>
        <w:t xml:space="preserve">EN 17984-6:2024, </w:t>
      </w:r>
      <w:r w:rsidRPr="00124E13">
        <w:t>Assistance dogs — Part 6: Accessibility and universal access</w:t>
      </w:r>
      <w:r>
        <w:t xml:space="preserve"> (CEN, published 2024-11-27)</w:t>
      </w:r>
    </w:p>
    <w:p w14:paraId="0FA1DE6C" w14:textId="77777777" w:rsidR="009D3B67" w:rsidRDefault="009D3B67">
      <w:pPr>
        <w:pStyle w:val="ListParagraph"/>
        <w:numPr>
          <w:ilvl w:val="0"/>
          <w:numId w:val="8"/>
        </w:numPr>
      </w:pPr>
      <w:r>
        <w:t xml:space="preserve">European Disability Forum (EDF), </w:t>
      </w:r>
      <w:r>
        <w:rPr>
          <w:i/>
          <w:iCs/>
        </w:rPr>
        <w:t>Position Paper on assistance dogs transport</w:t>
      </w:r>
      <w:r>
        <w:t xml:space="preserve"> (March 2025)</w:t>
      </w:r>
    </w:p>
    <w:p w14:paraId="4FDE7F45" w14:textId="77777777" w:rsidR="009D3B67" w:rsidRDefault="009D3B67" w:rsidP="00F0381D">
      <w:pPr>
        <w:rPr>
          <w:sz w:val="22"/>
          <w:szCs w:val="22"/>
          <w:lang w:eastAsia="en-CA"/>
        </w:rPr>
      </w:pPr>
      <w:r>
        <w:lastRenderedPageBreak/>
        <w:t>This annex provides examples of evidence that an organization may use to demonstrate conformance with the requirements in this document. The examples are not exhaustive, and other evidence may be acceptable.</w:t>
      </w:r>
    </w:p>
    <w:p w14:paraId="2D362608" w14:textId="6D281430" w:rsidR="000A336D" w:rsidRDefault="00041470">
      <w:pPr>
        <w:pStyle w:val="Heading1"/>
        <w:numPr>
          <w:ilvl w:val="0"/>
          <w:numId w:val="2"/>
        </w:numPr>
        <w:rPr>
          <w:kern w:val="36"/>
          <w:sz w:val="32"/>
          <w:szCs w:val="32"/>
        </w:rPr>
      </w:pPr>
      <w:bookmarkStart w:id="196" w:name="_Toc228394683"/>
      <w:r>
        <w:t xml:space="preserve">Strengths &amp; </w:t>
      </w:r>
      <w:r w:rsidR="3D0B5717">
        <w:t>Limitations</w:t>
      </w:r>
      <w:bookmarkEnd w:id="173"/>
      <w:bookmarkEnd w:id="174"/>
      <w:bookmarkEnd w:id="175"/>
      <w:bookmarkEnd w:id="176"/>
      <w:bookmarkEnd w:id="177"/>
      <w:bookmarkEnd w:id="178"/>
      <w:bookmarkEnd w:id="179"/>
      <w:bookmarkEnd w:id="180"/>
      <w:bookmarkEnd w:id="181"/>
      <w:bookmarkEnd w:id="196"/>
    </w:p>
    <w:p w14:paraId="0FD33C4A" w14:textId="15E0FC81" w:rsidR="00052E36" w:rsidRDefault="00052E36" w:rsidP="00F0381D">
      <w:pPr>
        <w:rPr>
          <w:lang w:eastAsia="en-CA"/>
        </w:rPr>
      </w:pPr>
      <w:r>
        <w:t>The Guide Dog Handlers survey findings reflect self-reported experiences of respondents who chose to participate</w:t>
      </w:r>
      <w:r w:rsidR="00291921">
        <w:t xml:space="preserve"> in the survey</w:t>
      </w:r>
      <w:r>
        <w:t>, rather than random sampling due to the small nature of the population. The survey results are presented descriptively (percentages and selected subgroup comparisons), rather than as population estimates, and should not be extrapolated to all service animal users. Several quantitative items use frequency-based response framing (e.g., “at least 3–4 times per year”) and attribution framing (e.g., “due to others’ lack of understanding”), which should be interpreted as respondent perceptions as reported (Leighton et al., 2025; Silverman et al., 2022).</w:t>
      </w:r>
    </w:p>
    <w:p w14:paraId="1543443E" w14:textId="1CDAC0F6" w:rsidR="000A336D" w:rsidRDefault="00441769" w:rsidP="00F0381D">
      <w:r>
        <w:t>Qualitative research such as f</w:t>
      </w:r>
      <w:r w:rsidR="3D0B5717" w:rsidRPr="6A0D869D">
        <w:t>ocus group and co-design findings reflect the perspectives of participating guide dog handlers and are intended to surface themes, mechanisms, and solution</w:t>
      </w:r>
      <w:r w:rsidR="00580F77">
        <w:t xml:space="preserve"> for accessibility barriers</w:t>
      </w:r>
      <w:r w:rsidR="3D0B5717" w:rsidRPr="6A0D869D">
        <w:t>.</w:t>
      </w:r>
      <w:r>
        <w:t xml:space="preserve"> </w:t>
      </w:r>
      <w:r w:rsidR="006F4C2B">
        <w:t xml:space="preserve">These </w:t>
      </w:r>
      <w:r w:rsidR="006F4C2B">
        <w:lastRenderedPageBreak/>
        <w:t xml:space="preserve">methods can be subject to confirmation bias and selection bias if a diversity of perspectives </w:t>
      </w:r>
      <w:r w:rsidR="000444B3">
        <w:t xml:space="preserve">is not carefully elucidated. </w:t>
      </w:r>
    </w:p>
    <w:p w14:paraId="6826A222" w14:textId="61CC421F" w:rsidR="00D404FB" w:rsidRDefault="3D0B5717" w:rsidP="00F0381D">
      <w:r w:rsidRPr="6A0D869D">
        <w:t xml:space="preserve">The jurisdictional </w:t>
      </w:r>
      <w:r w:rsidR="00821D8C">
        <w:t>scan</w:t>
      </w:r>
      <w:r w:rsidRPr="6A0D869D">
        <w:t xml:space="preserve"> </w:t>
      </w:r>
      <w:r w:rsidR="00580F77">
        <w:t xml:space="preserve">was </w:t>
      </w:r>
      <w:r w:rsidRPr="6A0D869D">
        <w:t xml:space="preserve">undertaken primarily </w:t>
      </w:r>
      <w:r w:rsidR="00580F77">
        <w:t xml:space="preserve">through </w:t>
      </w:r>
      <w:r w:rsidR="007E6CBE">
        <w:t xml:space="preserve">the </w:t>
      </w:r>
      <w:r w:rsidRPr="6A0D869D">
        <w:t xml:space="preserve">Google </w:t>
      </w:r>
      <w:r w:rsidR="00580F77">
        <w:t xml:space="preserve">search engine </w:t>
      </w:r>
      <w:r w:rsidR="007E6CBE">
        <w:t xml:space="preserve">for provincial and international </w:t>
      </w:r>
      <w:r w:rsidRPr="6A0D869D">
        <w:t>legislation</w:t>
      </w:r>
      <w:r w:rsidR="007E6CBE">
        <w:t>s</w:t>
      </w:r>
      <w:r w:rsidRPr="6A0D869D">
        <w:t>, policies, and regulations</w:t>
      </w:r>
      <w:r w:rsidR="007E6CBE">
        <w:t xml:space="preserve">. </w:t>
      </w:r>
      <w:r w:rsidR="00441554">
        <w:t xml:space="preserve">The original </w:t>
      </w:r>
      <w:r w:rsidRPr="6A0D869D">
        <w:t xml:space="preserve">report </w:t>
      </w:r>
      <w:r w:rsidR="00015D50">
        <w:t xml:space="preserve">established </w:t>
      </w:r>
      <w:r w:rsidRPr="6A0D869D">
        <w:t xml:space="preserve">a baseline synthesis rather than </w:t>
      </w:r>
      <w:r w:rsidR="00291921" w:rsidRPr="6A0D869D">
        <w:t>a</w:t>
      </w:r>
      <w:r w:rsidRPr="6A0D869D">
        <w:t xml:space="preserve"> </w:t>
      </w:r>
      <w:r w:rsidR="00015D50">
        <w:t xml:space="preserve">detailed </w:t>
      </w:r>
      <w:r w:rsidR="009C4755">
        <w:t xml:space="preserve">comparative </w:t>
      </w:r>
      <w:r w:rsidR="00015D50">
        <w:t xml:space="preserve">legislative </w:t>
      </w:r>
      <w:r w:rsidRPr="6A0D869D">
        <w:t>analysis</w:t>
      </w:r>
      <w:r w:rsidR="00291921">
        <w:t>, and thus the term jurisdictional scan is used in this report</w:t>
      </w:r>
      <w:r w:rsidRPr="6A0D869D">
        <w:t>.</w:t>
      </w:r>
      <w:bookmarkStart w:id="197" w:name="_Toc1363512460"/>
      <w:bookmarkStart w:id="198" w:name="_Toc588105760"/>
      <w:bookmarkStart w:id="199" w:name="_Toc884230234"/>
      <w:bookmarkStart w:id="200" w:name="_Toc1141110387"/>
      <w:bookmarkStart w:id="201" w:name="_Toc355804596"/>
      <w:bookmarkStart w:id="202" w:name="_Toc510897497"/>
      <w:bookmarkStart w:id="203" w:name="_Toc1462322973"/>
      <w:bookmarkStart w:id="204" w:name="_Toc993595612"/>
      <w:bookmarkStart w:id="205" w:name="_Toc572986526"/>
      <w:r w:rsidR="00441554">
        <w:t xml:space="preserve"> </w:t>
      </w:r>
      <w:r w:rsidR="00CD0170">
        <w:t xml:space="preserve">Key informant interviews </w:t>
      </w:r>
      <w:r w:rsidR="00D404FB">
        <w:t xml:space="preserve">were documented through notes rather than </w:t>
      </w:r>
      <w:r w:rsidR="00CD0170">
        <w:t xml:space="preserve">digital </w:t>
      </w:r>
      <w:r w:rsidR="00D404FB">
        <w:t>recordings</w:t>
      </w:r>
      <w:r w:rsidR="00441554">
        <w:t>, which can be subject to recall bias</w:t>
      </w:r>
      <w:r w:rsidR="00D404FB">
        <w:t>.</w:t>
      </w:r>
      <w:r w:rsidR="000444B3">
        <w:t xml:space="preserve"> Academic literature related to guide dogs in Canada </w:t>
      </w:r>
      <w:r w:rsidR="001F70E7">
        <w:t xml:space="preserve">is </w:t>
      </w:r>
      <w:r w:rsidR="003A5F35">
        <w:t>limited and</w:t>
      </w:r>
      <w:r w:rsidR="003F5E08">
        <w:t xml:space="preserve"> was reviewed after the original publication.</w:t>
      </w:r>
    </w:p>
    <w:p w14:paraId="2E870D6A" w14:textId="77777777" w:rsidR="00D51143" w:rsidRDefault="00D51143">
      <w:pPr>
        <w:rPr>
          <w:lang w:eastAsia="en-CA"/>
        </w:rPr>
      </w:pPr>
      <w:r>
        <w:t>The study’s principal strengths derive from methodological triangulation across legal/policy scan stakeholder engagement (including co-design), and complementary survey evidence. The jurisdictional scan spans all Canadian provinces and territories and incorporates international comparators, enabling the analysis to situate Canadian experiences within broader patterns and divergences in recognition and enforcement models. In addition, the inclusion of a national public attitudes survey (Ipsos Reid; n=1,001) provides an independent measure of public awareness and familiarity gaps linked to implementation challenges in public and service-</w:t>
      </w:r>
      <w:r>
        <w:lastRenderedPageBreak/>
        <w:t>provider settings. The Guide Dog handlers survey is one of the largest sample sizes of this population from the Canadian context. Using a mixed-methods approach helps to address a fundamental gap related to research on access barriers for guide dog handlers in Canada.</w:t>
      </w:r>
    </w:p>
    <w:p w14:paraId="1ECA87DD" w14:textId="359B62FC" w:rsidR="000A336D" w:rsidRDefault="3D0B5717">
      <w:pPr>
        <w:pStyle w:val="Heading1"/>
        <w:numPr>
          <w:ilvl w:val="0"/>
          <w:numId w:val="2"/>
        </w:numPr>
        <w:rPr>
          <w:kern w:val="36"/>
          <w:sz w:val="32"/>
          <w:szCs w:val="32"/>
        </w:rPr>
      </w:pPr>
      <w:bookmarkStart w:id="206" w:name="_Toc228394684"/>
      <w:r>
        <w:t>Conclusion</w:t>
      </w:r>
      <w:bookmarkEnd w:id="197"/>
      <w:bookmarkEnd w:id="198"/>
      <w:bookmarkEnd w:id="199"/>
      <w:bookmarkEnd w:id="200"/>
      <w:bookmarkEnd w:id="201"/>
      <w:bookmarkEnd w:id="202"/>
      <w:bookmarkEnd w:id="203"/>
      <w:bookmarkEnd w:id="204"/>
      <w:bookmarkEnd w:id="205"/>
      <w:bookmarkEnd w:id="206"/>
    </w:p>
    <w:p w14:paraId="52D74438" w14:textId="610FD55A" w:rsidR="009C747C" w:rsidRPr="00772120" w:rsidRDefault="009C747C" w:rsidP="00A765BE">
      <w:pPr>
        <w:rPr>
          <w:lang w:eastAsia="en-CA"/>
        </w:rPr>
      </w:pPr>
      <w:bookmarkStart w:id="207" w:name="_Toc1012072468"/>
      <w:bookmarkStart w:id="208" w:name="_Toc1430102603"/>
      <w:bookmarkStart w:id="209" w:name="_Toc1328449998"/>
      <w:bookmarkStart w:id="210" w:name="_Toc811354861"/>
      <w:bookmarkStart w:id="211" w:name="_Toc1426955956"/>
      <w:bookmarkStart w:id="212" w:name="_Toc1505330694"/>
      <w:bookmarkStart w:id="213" w:name="_Toc388954347"/>
      <w:bookmarkStart w:id="214" w:name="_Toc693733550"/>
      <w:bookmarkStart w:id="215" w:name="_Toc132819002"/>
      <w:r w:rsidRPr="00772120">
        <w:rPr>
          <w:lang w:eastAsia="en-CA"/>
        </w:rPr>
        <w:t xml:space="preserve">Future research should </w:t>
      </w:r>
      <w:r w:rsidR="006D4464">
        <w:rPr>
          <w:lang w:eastAsia="en-CA"/>
        </w:rPr>
        <w:t>continue</w:t>
      </w:r>
      <w:r w:rsidR="00E96B16">
        <w:rPr>
          <w:lang w:eastAsia="en-CA"/>
        </w:rPr>
        <w:t xml:space="preserve"> and </w:t>
      </w:r>
      <w:r w:rsidRPr="00772120">
        <w:rPr>
          <w:lang w:eastAsia="en-CA"/>
        </w:rPr>
        <w:t>test whether stronger penalties and different enforcement pathways reduce access denials in practice, and which models shift behaviour at scale. Community</w:t>
      </w:r>
      <w:r w:rsidRPr="00772120">
        <w:rPr>
          <w:lang w:eastAsia="en-CA"/>
        </w:rPr>
        <w:noBreakHyphen/>
        <w:t>led evaluation, co</w:t>
      </w:r>
      <w:r w:rsidRPr="00772120">
        <w:rPr>
          <w:lang w:eastAsia="en-CA"/>
        </w:rPr>
        <w:noBreakHyphen/>
        <w:t>designed with guide dog handlers and disability organizations, should be paired with government partners to enable policy tests using quasi</w:t>
      </w:r>
      <w:r w:rsidRPr="00772120">
        <w:rPr>
          <w:lang w:eastAsia="en-CA"/>
        </w:rPr>
        <w:noBreakHyphen/>
        <w:t>experimental and longitudinal designs (e.g., pre–post and difference</w:t>
      </w:r>
      <w:r w:rsidRPr="00772120">
        <w:rPr>
          <w:lang w:eastAsia="en-CA"/>
        </w:rPr>
        <w:noBreakHyphen/>
        <w:t>in</w:t>
      </w:r>
      <w:r w:rsidRPr="00772120">
        <w:rPr>
          <w:lang w:eastAsia="en-CA"/>
        </w:rPr>
        <w:noBreakHyphen/>
        <w:t>differences comparisons across jurisdictions). Linking administrative enforcement and complaint records (citations, tribunal outcomes) with self</w:t>
      </w:r>
      <w:r w:rsidRPr="00772120">
        <w:rPr>
          <w:lang w:eastAsia="en-CA"/>
        </w:rPr>
        <w:noBreakHyphen/>
        <w:t>reported handler experiences would clarify deterrence and detect displacement toward subtler exclusion. Pre</w:t>
      </w:r>
      <w:r w:rsidRPr="00772120">
        <w:rPr>
          <w:lang w:eastAsia="en-CA"/>
        </w:rPr>
        <w:noBreakHyphen/>
        <w:t>specified outcomes (refusal prevalence, repeat</w:t>
      </w:r>
      <w:r w:rsidRPr="00772120">
        <w:rPr>
          <w:lang w:eastAsia="en-CA"/>
        </w:rPr>
        <w:noBreakHyphen/>
        <w:t>offender rates, time to resolution) are needed for comparability</w:t>
      </w:r>
      <w:r w:rsidR="00F12F5C">
        <w:rPr>
          <w:lang w:eastAsia="en-CA"/>
        </w:rPr>
        <w:t xml:space="preserve"> over the long-term</w:t>
      </w:r>
      <w:r w:rsidRPr="00772120">
        <w:rPr>
          <w:lang w:eastAsia="en-CA"/>
        </w:rPr>
        <w:t>.</w:t>
      </w:r>
    </w:p>
    <w:p w14:paraId="21C58D90" w14:textId="77777777" w:rsidR="00B27BA4" w:rsidRDefault="00B27BA4">
      <w:pPr>
        <w:rPr>
          <w:lang w:eastAsia="en-CA"/>
        </w:rPr>
      </w:pPr>
      <w:r>
        <w:lastRenderedPageBreak/>
        <w:t>Implementation research should determine which service</w:t>
      </w:r>
      <w:r>
        <w:noBreakHyphen/>
        <w:t>provider training models produce sustained front</w:t>
      </w:r>
      <w:r>
        <w:noBreakHyphen/>
        <w:t>line practice change, particularly across transportation ecosystems. Comparative evaluation of delivery formats (in-person, e-learning, simulation, refresher schedules) should prioritize observed behavioural outcomes in real settings (refusals, complaints, customer experience), and examine enabling conditions such as management support, clear procedures, and accountability.</w:t>
      </w:r>
    </w:p>
    <w:p w14:paraId="4EECB317" w14:textId="77777777" w:rsidR="009C747C" w:rsidRPr="00772120" w:rsidRDefault="009C747C" w:rsidP="00A765BE">
      <w:pPr>
        <w:rPr>
          <w:lang w:eastAsia="en-CA"/>
        </w:rPr>
      </w:pPr>
      <w:r w:rsidRPr="00772120">
        <w:rPr>
          <w:lang w:eastAsia="en-CA"/>
        </w:rPr>
        <w:t>Industry</w:t>
      </w:r>
      <w:r w:rsidRPr="00772120">
        <w:rPr>
          <w:lang w:eastAsia="en-CA"/>
        </w:rPr>
        <w:noBreakHyphen/>
        <w:t>focused studies should examine why refusals occur within ride</w:t>
      </w:r>
      <w:r w:rsidRPr="00772120">
        <w:rPr>
          <w:lang w:eastAsia="en-CA"/>
        </w:rPr>
        <w:noBreakHyphen/>
        <w:t>share platforms and how platform governance shapes outcomes. Mixed</w:t>
      </w:r>
      <w:r w:rsidRPr="00772120">
        <w:rPr>
          <w:lang w:eastAsia="en-CA"/>
        </w:rPr>
        <w:noBreakHyphen/>
        <w:t xml:space="preserve">methods work combining platform data, driver interviews, and handler diaries can estimate the relative contribution of allergies, religious concerns, discrimination, and knowledge gaps. Platform interventions (optional identification features, allergy workflows, driver prompts) should be tested through staged rollouts or A/B designs, alongside standardized refusal/cancellation metrics to support consistent reporting. </w:t>
      </w:r>
    </w:p>
    <w:p w14:paraId="6E912F7A" w14:textId="49CF8B49" w:rsidR="009C747C" w:rsidRDefault="009C747C" w:rsidP="000407CA">
      <w:pPr>
        <w:rPr>
          <w:lang w:eastAsia="en-CA"/>
        </w:rPr>
      </w:pPr>
      <w:r w:rsidRPr="00772120">
        <w:rPr>
          <w:lang w:eastAsia="en-CA"/>
        </w:rPr>
        <w:t>Research should also develop and field</w:t>
      </w:r>
      <w:r w:rsidRPr="00772120">
        <w:rPr>
          <w:lang w:eastAsia="en-CA"/>
        </w:rPr>
        <w:noBreakHyphen/>
        <w:t>test competing</w:t>
      </w:r>
      <w:r w:rsidRPr="00772120">
        <w:rPr>
          <w:lang w:eastAsia="en-CA"/>
        </w:rPr>
        <w:noBreakHyphen/>
        <w:t xml:space="preserve">rights accommodation protocols that maintain access while addressing medically documented severe allergies across taxis, air travel, and institutional settings (employment, education, housing). Evaluation should measure </w:t>
      </w:r>
      <w:r w:rsidRPr="00772120">
        <w:rPr>
          <w:lang w:eastAsia="en-CA"/>
        </w:rPr>
        <w:lastRenderedPageBreak/>
        <w:t>feasibility and undue hardship, and document constraints (cost, space, staffing, privacy). Finally, monitoring systems should be strengthened through standardized indicators (refusals/cancellations, recourse outcomes, time to resolution, repeat occurrences), privacy</w:t>
      </w:r>
      <w:r w:rsidRPr="00772120">
        <w:rPr>
          <w:lang w:eastAsia="en-CA"/>
        </w:rPr>
        <w:noBreakHyphen/>
        <w:t>preserving linkage, and regular public reporting to support accountability for both governments and industry.</w:t>
      </w:r>
      <w:r w:rsidR="000407CA">
        <w:rPr>
          <w:lang w:eastAsia="en-CA"/>
        </w:rPr>
        <w:t xml:space="preserve"> </w:t>
      </w:r>
      <w:r w:rsidR="000407CA" w:rsidRPr="000407CA">
        <w:rPr>
          <w:lang w:eastAsia="en-CA"/>
        </w:rPr>
        <w:t>Finally, monitoring systems should be strengthened through standardized indicators that enable governments and industry to track performance over time, rather than relying on individual complaints to signal failure</w:t>
      </w:r>
      <w:r w:rsidR="005722CC">
        <w:rPr>
          <w:lang w:eastAsia="en-CA"/>
        </w:rPr>
        <w:t xml:space="preserve"> to reconcile laws with the realities of lived experience. </w:t>
      </w:r>
    </w:p>
    <w:p w14:paraId="4B0B9A4A" w14:textId="77777777" w:rsidR="00CA2A82" w:rsidRPr="00CA2A82" w:rsidRDefault="00680308" w:rsidP="00CA2A82">
      <w:r>
        <w:t>G</w:t>
      </w:r>
      <w:r w:rsidR="00D40CC6">
        <w:t xml:space="preserve">uide dog handlers in Canada continue to encounter access denials and barriers across everyday public settings, with transportation repeatedly identified as a high-impact domain. </w:t>
      </w:r>
      <w:r>
        <w:t xml:space="preserve">The </w:t>
      </w:r>
      <w:r w:rsidR="00EF08BB" w:rsidRPr="00EF08BB">
        <w:t>evidence suggests that access denials persist not</w:t>
      </w:r>
      <w:r w:rsidR="00CF7B67">
        <w:t xml:space="preserve"> because of a lack of rights</w:t>
      </w:r>
      <w:r w:rsidR="00EF08BB" w:rsidRPr="00EF08BB">
        <w:t xml:space="preserve">, but because how </w:t>
      </w:r>
      <w:r w:rsidR="00D16370">
        <w:t xml:space="preserve">legislations are applied </w:t>
      </w:r>
      <w:r w:rsidR="00EF08BB" w:rsidRPr="00EF08BB">
        <w:t xml:space="preserve">in practice. Key factors include </w:t>
      </w:r>
      <w:r w:rsidR="00D16370">
        <w:t xml:space="preserve">the lack of </w:t>
      </w:r>
      <w:r w:rsidR="00EF08BB" w:rsidRPr="00EF08BB">
        <w:t xml:space="preserve">public understanding, </w:t>
      </w:r>
      <w:r w:rsidR="005B4812">
        <w:t xml:space="preserve">inconsistent </w:t>
      </w:r>
      <w:r w:rsidR="00EF08BB" w:rsidRPr="00EF08BB">
        <w:t xml:space="preserve">practices </w:t>
      </w:r>
      <w:r w:rsidR="005B4812">
        <w:t xml:space="preserve">by </w:t>
      </w:r>
      <w:r w:rsidR="00EF08BB" w:rsidRPr="00EF08BB">
        <w:t xml:space="preserve">service providers, and </w:t>
      </w:r>
      <w:r w:rsidR="00490176">
        <w:t xml:space="preserve">ineffective </w:t>
      </w:r>
      <w:r w:rsidR="00EF08BB" w:rsidRPr="00EF08BB">
        <w:t xml:space="preserve">enforcement and </w:t>
      </w:r>
      <w:r w:rsidR="00490176">
        <w:t xml:space="preserve">difficult </w:t>
      </w:r>
      <w:r w:rsidR="00EF08BB" w:rsidRPr="00EF08BB">
        <w:t>complaint processes.</w:t>
      </w:r>
      <w:r w:rsidR="00EF08BB">
        <w:t xml:space="preserve"> </w:t>
      </w:r>
      <w:r w:rsidR="00CA2A82" w:rsidRPr="00CA2A82">
        <w:t>This study confirms what guide dog handlers across Canada have long described. Public access barriers remain a regular part of daily life, even after decades of legal recognition. The findings show that these barriers are not isolated incidents. They are recurrent, predictable, and system</w:t>
      </w:r>
      <w:r w:rsidR="00CA2A82" w:rsidRPr="00CA2A82">
        <w:noBreakHyphen/>
        <w:t xml:space="preserve">produced. For many handlers, transportation </w:t>
      </w:r>
      <w:r w:rsidR="00CA2A82" w:rsidRPr="00CA2A82">
        <w:lastRenderedPageBreak/>
        <w:t>settings are especially consequential, shaping whether it is possible to travel, work, or participate in community life without interruption, confrontation, or delay.</w:t>
      </w:r>
    </w:p>
    <w:p w14:paraId="037C678B" w14:textId="52A25AB9" w:rsidR="00D40CC6" w:rsidRDefault="00CA2A82" w:rsidP="00CA2A82">
      <w:r w:rsidRPr="00CA2A82">
        <w:t>The evidence makes clear that the responsibility for resolving access denials continues to fall disproportionately on guide dog handlers themselves. Handlers are often required to explain the law, justify their presence, manage documentation requests, or decide whether to pursue complaint processes that are slow and difficult to navigate. Over time, this repeated burden affects not only access outcomes, but also confidence, safety, and willingness to enter new spaces. Reliance on individual self</w:t>
      </w:r>
      <w:r w:rsidRPr="00CA2A82">
        <w:noBreakHyphen/>
        <w:t>advocacy is therefore not a marker of successful accessibility. It is a signal that existing systems are not functioning as intended.</w:t>
      </w:r>
    </w:p>
    <w:p w14:paraId="6C0D047C" w14:textId="77777777" w:rsidR="007A5C02" w:rsidRDefault="007A5C02">
      <w:pPr>
        <w:rPr>
          <w:lang w:eastAsia="en-CA"/>
        </w:rPr>
      </w:pPr>
      <w:r>
        <w:t xml:space="preserve">Stakeholders emphasize a recurring “legitimacy burden” placed on handlers during public interactions where their access rights are challenged. An unresolved tension remains amongst guide dog handlers whether legitimacy should be defined by documentation and behaviour-based approaches to identifying working guide dog teams. Systems-level improvements are required to address public training, operational clarity, </w:t>
      </w:r>
      <w:r>
        <w:lastRenderedPageBreak/>
        <w:t>accountability, and accessible recourse for guide dog teams and service providers.</w:t>
      </w:r>
    </w:p>
    <w:p w14:paraId="7E060A7D" w14:textId="77777777" w:rsidR="00783BC5" w:rsidRDefault="00A4711F" w:rsidP="00E0779E">
      <w:r>
        <w:t xml:space="preserve">First, while guide dogs have been part of the Canadian landscape, at least in legislative terms, for 53 years, public access denials keep occurring at an alarming rate. It appears that Canadian guide dog handlers are experiencing more barriers than ever, coupled with an ongoing erosion of their rights. </w:t>
      </w:r>
      <w:r w:rsidR="00D80254" w:rsidRPr="00D80254">
        <w:t xml:space="preserve">As </w:t>
      </w:r>
      <w:r w:rsidR="00D80254">
        <w:t xml:space="preserve">untrained and emotional </w:t>
      </w:r>
      <w:r w:rsidR="00D80254" w:rsidRPr="00D80254">
        <w:t>support animals become more prevalent, public understanding of access rights has grown less consistent, creating uncertainty among members of the public, businesses, and service providers</w:t>
      </w:r>
      <w:r w:rsidR="009B259C">
        <w:t xml:space="preserve"> creating </w:t>
      </w:r>
      <w:r>
        <w:t>adverse impacts on Canadian guide dog users</w:t>
      </w:r>
      <w:r w:rsidR="009B259C">
        <w:t xml:space="preserve"> in Canada and abroad (ADI &amp; IGDF</w:t>
      </w:r>
      <w:r w:rsidR="00783BC5">
        <w:t xml:space="preserve"> 2025)</w:t>
      </w:r>
      <w:r>
        <w:t xml:space="preserve">. </w:t>
      </w:r>
    </w:p>
    <w:p w14:paraId="798C5004" w14:textId="1A62D64F" w:rsidR="00352176" w:rsidRDefault="007B1FDF" w:rsidP="00EF7E19">
      <w:r>
        <w:t xml:space="preserve">The reality is </w:t>
      </w:r>
      <w:r w:rsidR="00DC5052">
        <w:t xml:space="preserve">further </w:t>
      </w:r>
      <w:r w:rsidR="00A4711F">
        <w:t xml:space="preserve">complicated by the fact that legislation in this area is governed by the provinces, and there are not yet any national regulations and policies with a consistent approach to guide dog legislation. </w:t>
      </w:r>
      <w:r w:rsidR="008F21E2">
        <w:t>Canadian provinces</w:t>
      </w:r>
      <w:r w:rsidR="00A4711F">
        <w:t xml:space="preserve"> </w:t>
      </w:r>
      <w:r w:rsidR="002C628F">
        <w:t xml:space="preserve">and territories </w:t>
      </w:r>
      <w:r w:rsidR="00A4711F">
        <w:t>need to be aligned toward</w:t>
      </w:r>
      <w:r w:rsidR="008F21E2">
        <w:t>s</w:t>
      </w:r>
      <w:r w:rsidR="00A4711F">
        <w:t xml:space="preserve"> a </w:t>
      </w:r>
      <w:r w:rsidR="008F21E2">
        <w:t>harmonized approach</w:t>
      </w:r>
      <w:r w:rsidR="00A4711F">
        <w:t xml:space="preserve">. While those consulted on this study migrated back and forth between the value of legislation vs. education, </w:t>
      </w:r>
      <w:r w:rsidR="005020CE">
        <w:t>a</w:t>
      </w:r>
      <w:r w:rsidR="00A4711F">
        <w:t xml:space="preserve"> combination of these two approaches</w:t>
      </w:r>
      <w:r w:rsidR="00EF08BB">
        <w:t xml:space="preserve"> </w:t>
      </w:r>
      <w:r w:rsidR="00934E7D">
        <w:t>may be tangible avenues for potential future interventions to remove and prevent future barriers for guide dog teams</w:t>
      </w:r>
      <w:r w:rsidR="00A4711F">
        <w:t xml:space="preserve">. </w:t>
      </w:r>
      <w:r w:rsidR="00096C45">
        <w:t xml:space="preserve">The </w:t>
      </w:r>
      <w:r w:rsidR="009C3BF8" w:rsidRPr="009C3BF8">
        <w:t xml:space="preserve">contributions </w:t>
      </w:r>
      <w:r w:rsidR="00096C45">
        <w:t xml:space="preserve">from guide </w:t>
      </w:r>
      <w:r w:rsidR="00096C45">
        <w:lastRenderedPageBreak/>
        <w:t>dog han</w:t>
      </w:r>
      <w:r w:rsidR="00EF7E19">
        <w:t xml:space="preserve">dlers </w:t>
      </w:r>
      <w:r w:rsidR="009C3BF8" w:rsidRPr="009C3BF8">
        <w:t>demonstrate that inclusion is not about asking individuals to adapt further. It is about designing systems that anticipate access needs and respond consistently without requiring repeated negotiation.</w:t>
      </w:r>
    </w:p>
    <w:p w14:paraId="052E3F4C" w14:textId="3EC2EF57" w:rsidR="005E41E4" w:rsidRDefault="00A4711F" w:rsidP="002A60EC">
      <w:r>
        <w:t xml:space="preserve">Furthermore, </w:t>
      </w:r>
      <w:r w:rsidR="00FA688F">
        <w:t xml:space="preserve">stakeholders called on </w:t>
      </w:r>
      <w:r>
        <w:t xml:space="preserve">the federal government to play a leadership role in this area. Consequent to its responsibilities for the Accessible Canada Act, the Government of Canada should take a lens approach when developing all legislation, regulations, standards and policies to ensure there are no adverse impacts to guide dog users, at the very least. </w:t>
      </w:r>
      <w:r w:rsidR="00A151BF">
        <w:t>From this perspective a proposed standard is offered</w:t>
      </w:r>
      <w:r w:rsidR="005E41E4">
        <w:t xml:space="preserve"> as starting point for different stakeholders in Canada. </w:t>
      </w:r>
      <w:r w:rsidR="002A60EC" w:rsidRPr="002A60EC">
        <w:t>For governments and industry, these findings reinforce an important responsibility. Improving guide dog access does not require new rights. It requires using existing authority to ensure that access is predictable, enforceable, and not contingent on individual resilience. Applying a guide dog lens to policy development, regulation, training, and service delivery offers a practical way to prevent harm and reduce the need for constant self</w:t>
      </w:r>
      <w:r w:rsidR="002A60EC" w:rsidRPr="002A60EC">
        <w:noBreakHyphen/>
        <w:t>advocacy.</w:t>
      </w:r>
    </w:p>
    <w:p w14:paraId="1948560C" w14:textId="5D120F9C" w:rsidR="00CF6F17" w:rsidRPr="00CF6F17" w:rsidRDefault="00A4711F" w:rsidP="00CF6F17">
      <w:r>
        <w:t xml:space="preserve">Similarly, the most successful </w:t>
      </w:r>
      <w:r w:rsidR="00942C6C">
        <w:t xml:space="preserve">strategy offered is </w:t>
      </w:r>
      <w:r w:rsidR="003A5F35">
        <w:t>a</w:t>
      </w:r>
      <w:r w:rsidR="00942C6C">
        <w:t xml:space="preserve"> national </w:t>
      </w:r>
      <w:r>
        <w:t xml:space="preserve">education campaign, </w:t>
      </w:r>
      <w:r w:rsidR="00942C6C">
        <w:t xml:space="preserve">led by </w:t>
      </w:r>
      <w:r>
        <w:t>government, and, working with those who have lived experience. While the guide dog handlers</w:t>
      </w:r>
      <w:r w:rsidR="005E41E4">
        <w:t xml:space="preserve"> in </w:t>
      </w:r>
      <w:r>
        <w:t xml:space="preserve">this project spoke </w:t>
      </w:r>
      <w:r w:rsidR="0063697C">
        <w:t xml:space="preserve">to </w:t>
      </w:r>
      <w:r>
        <w:t>resilien</w:t>
      </w:r>
      <w:r w:rsidR="0063697C">
        <w:t>ce</w:t>
      </w:r>
      <w:r>
        <w:t xml:space="preserve">, </w:t>
      </w:r>
      <w:r w:rsidR="0063697C">
        <w:lastRenderedPageBreak/>
        <w:t xml:space="preserve">there are </w:t>
      </w:r>
      <w:r>
        <w:t xml:space="preserve">significant concerns that, without change, their rights are being rolled back, and progress toward their social inclusion is </w:t>
      </w:r>
      <w:r w:rsidR="004956D8">
        <w:t>eroding</w:t>
      </w:r>
      <w:r>
        <w:t>.</w:t>
      </w:r>
      <w:r w:rsidR="004956D8">
        <w:t xml:space="preserve"> </w:t>
      </w:r>
      <w:r>
        <w:t xml:space="preserve"> “We are in a crisis”, and many share the same sentiment. </w:t>
      </w:r>
      <w:r w:rsidR="00CF6F17" w:rsidRPr="00CF6F17">
        <w:t>For guide dog handlers, the evidence affirms that the barriers experience</w:t>
      </w:r>
      <w:r w:rsidR="00CF6F17">
        <w:t>d</w:t>
      </w:r>
      <w:r w:rsidR="00CF6F17" w:rsidRPr="00CF6F17">
        <w:t xml:space="preserve"> are neither rare nor acceptable. </w:t>
      </w:r>
      <w:r w:rsidR="00B376BD">
        <w:t xml:space="preserve">Public access barriers </w:t>
      </w:r>
      <w:r w:rsidR="00CF6F17" w:rsidRPr="00CF6F17">
        <w:t>reflect system failures rather than personal shortcomings. Addressing these barriers will require continued collaboration among handlers, governments, regulators, and service providers. When responsibility shifts from individuals to institutions, meaningful progress becomes possible.</w:t>
      </w:r>
    </w:p>
    <w:p w14:paraId="522922BA" w14:textId="0719C1A9" w:rsidR="00A4711F" w:rsidRDefault="00A4711F" w:rsidP="00F0381D"/>
    <w:p w14:paraId="3D137DA7" w14:textId="0D30450B" w:rsidR="009C3DBE" w:rsidRPr="009C3DBE" w:rsidRDefault="00364FDD" w:rsidP="00F0381D">
      <w:pPr>
        <w:rPr>
          <w:lang w:eastAsia="en-CA"/>
        </w:rPr>
      </w:pPr>
      <w:r>
        <w:rPr>
          <w:lang w:eastAsia="en-CA"/>
        </w:rPr>
        <w:br/>
      </w:r>
    </w:p>
    <w:p w14:paraId="2571C6B1" w14:textId="77777777" w:rsidR="00D7013A" w:rsidRDefault="00D7013A" w:rsidP="00F0381D">
      <w:pPr>
        <w:rPr>
          <w:rFonts w:eastAsiaTheme="majorEastAsia" w:cstheme="majorBidi"/>
          <w:sz w:val="40"/>
          <w:szCs w:val="40"/>
        </w:rPr>
      </w:pPr>
      <w:r>
        <w:br w:type="page"/>
      </w:r>
    </w:p>
    <w:p w14:paraId="719AD8DE" w14:textId="3E4984A0" w:rsidR="000A336D" w:rsidRDefault="3D0B5717" w:rsidP="0055692A">
      <w:pPr>
        <w:pStyle w:val="Heading1"/>
        <w:rPr>
          <w:kern w:val="36"/>
          <w:sz w:val="32"/>
          <w:szCs w:val="32"/>
        </w:rPr>
      </w:pPr>
      <w:bookmarkStart w:id="216" w:name="_Toc228394685"/>
      <w:r>
        <w:lastRenderedPageBreak/>
        <w:t>References</w:t>
      </w:r>
      <w:bookmarkEnd w:id="207"/>
      <w:bookmarkEnd w:id="208"/>
      <w:bookmarkEnd w:id="209"/>
      <w:bookmarkEnd w:id="210"/>
      <w:bookmarkEnd w:id="211"/>
      <w:bookmarkEnd w:id="212"/>
      <w:bookmarkEnd w:id="213"/>
      <w:bookmarkEnd w:id="214"/>
      <w:bookmarkEnd w:id="215"/>
      <w:bookmarkEnd w:id="216"/>
    </w:p>
    <w:p w14:paraId="751A7DCB" w14:textId="3AE549B9" w:rsidR="00241766" w:rsidRPr="009534D6" w:rsidRDefault="009534D6" w:rsidP="009C1C45">
      <w:pPr>
        <w:pStyle w:val="APAReference"/>
      </w:pPr>
      <w:r w:rsidRPr="009C1C45">
        <w:rPr>
          <w:i/>
          <w:iCs/>
        </w:rPr>
        <w:t>Accessible Canada Act</w:t>
      </w:r>
      <w:r w:rsidRPr="009534D6">
        <w:t>, S.C. 2019, c. 10. (2019).</w:t>
      </w:r>
      <w:r w:rsidRPr="009534D6">
        <w:br/>
      </w:r>
      <w:hyperlink r:id="rId12" w:history="1">
        <w:r w:rsidR="00241766" w:rsidRPr="0053774F">
          <w:rPr>
            <w:rStyle w:val="Hyperlink"/>
          </w:rPr>
          <w:t>https://laws-lois.justice.gc.ca/eng/acts/A-0.6/</w:t>
        </w:r>
      </w:hyperlink>
    </w:p>
    <w:p w14:paraId="575ACDB6" w14:textId="653C8961" w:rsidR="009C1C45" w:rsidRPr="009C1C45" w:rsidRDefault="009C1C45" w:rsidP="009C1C45">
      <w:pPr>
        <w:pStyle w:val="APAReference"/>
      </w:pPr>
      <w:r w:rsidRPr="009C1C45">
        <w:rPr>
          <w:i/>
          <w:iCs/>
        </w:rPr>
        <w:t>Accessible Transportation for Persons with Disabilities Regulations</w:t>
      </w:r>
      <w:r w:rsidRPr="009C1C45">
        <w:t>, SOR/2019</w:t>
      </w:r>
      <w:r w:rsidRPr="009C1C45">
        <w:noBreakHyphen/>
        <w:t>244. (2019).</w:t>
      </w:r>
      <w:r>
        <w:t xml:space="preserve"> </w:t>
      </w:r>
      <w:r w:rsidRPr="009C1C45">
        <w:t>https://laws-lois.justice.gc.ca/eng/regulations/SOR-2019-244/</w:t>
      </w:r>
    </w:p>
    <w:p w14:paraId="6EA84D95" w14:textId="77777777" w:rsidR="00CD33C4" w:rsidRDefault="00CD33C4" w:rsidP="002E691D">
      <w:pPr>
        <w:pStyle w:val="APAReference"/>
      </w:pPr>
      <w:r>
        <w:t>Americans with Disabilities Act of 1990, 42 U.S.C. § 12101 et seq.</w:t>
      </w:r>
    </w:p>
    <w:p w14:paraId="5512B915" w14:textId="7E5519A9" w:rsidR="005B4104" w:rsidRPr="00263A3C" w:rsidRDefault="00263A3C" w:rsidP="00263A3C">
      <w:pPr>
        <w:pStyle w:val="APAReference"/>
        <w:rPr>
          <w:rFonts w:eastAsia="Segoe UI"/>
        </w:rPr>
      </w:pPr>
      <w:r w:rsidRPr="00263A3C">
        <w:rPr>
          <w:rFonts w:eastAsia="Segoe UI"/>
        </w:rPr>
        <w:t>Assistance Dogs International</w:t>
      </w:r>
      <w:r w:rsidR="007B2998">
        <w:rPr>
          <w:rFonts w:eastAsia="Segoe UI"/>
        </w:rPr>
        <w:t xml:space="preserve"> (ADI) and International Guide Dog Federation (IGDF)</w:t>
      </w:r>
      <w:r w:rsidRPr="00263A3C">
        <w:rPr>
          <w:rFonts w:eastAsia="Segoe UI"/>
        </w:rPr>
        <w:t xml:space="preserve">. (2025). </w:t>
      </w:r>
      <w:r w:rsidRPr="00263A3C">
        <w:rPr>
          <w:rFonts w:eastAsia="Segoe UI"/>
          <w:i/>
          <w:iCs/>
        </w:rPr>
        <w:t>Paws for access: A global survey on assistance dog rights</w:t>
      </w:r>
      <w:r w:rsidRPr="00263A3C">
        <w:rPr>
          <w:rFonts w:eastAsia="Segoe UI"/>
        </w:rPr>
        <w:t xml:space="preserve"> (Preliminary report).</w:t>
      </w:r>
      <w:r w:rsidRPr="00263A3C">
        <w:rPr>
          <w:rFonts w:eastAsia="Segoe UI"/>
        </w:rPr>
        <w:br/>
        <w:t>https://assistancedogsinternational.org/clientuploads/Paws_For_Access/Paws_for_Access_Report_-_prelim.pdf</w:t>
      </w:r>
    </w:p>
    <w:p w14:paraId="0CA064D5" w14:textId="00B25926" w:rsidR="00CD33C4" w:rsidRDefault="00CD33C4" w:rsidP="002E691D">
      <w:pPr>
        <w:pStyle w:val="APAReference"/>
        <w:rPr>
          <w:rFonts w:eastAsia="Segoe UI"/>
          <w:lang w:val="en-GB"/>
        </w:rPr>
      </w:pPr>
      <w:r w:rsidRPr="6A0D869D">
        <w:rPr>
          <w:rFonts w:eastAsia="Segoe UI"/>
          <w:lang w:val="en-GB"/>
        </w:rPr>
        <w:t xml:space="preserve">CNIB Research Team. (2023, March 31). </w:t>
      </w:r>
      <w:r w:rsidRPr="6A0D869D">
        <w:rPr>
          <w:rFonts w:eastAsia="Segoe UI"/>
          <w:i/>
          <w:iCs/>
          <w:lang w:val="en-GB"/>
        </w:rPr>
        <w:t>Guide dog access barriers in Canada</w:t>
      </w:r>
      <w:r w:rsidRPr="6A0D869D">
        <w:rPr>
          <w:rFonts w:eastAsia="Segoe UI"/>
          <w:lang w:val="en-GB"/>
        </w:rPr>
        <w:t xml:space="preserve">. </w:t>
      </w:r>
      <w:r w:rsidR="0051246F">
        <w:rPr>
          <w:rFonts w:eastAsia="Segoe UI"/>
          <w:lang w:val="en-GB"/>
        </w:rPr>
        <w:t xml:space="preserve">Canadian National Institute for the Blind, Toronto, Ontario, Canada. </w:t>
      </w:r>
      <w:r w:rsidR="00B94D4B">
        <w:rPr>
          <w:rFonts w:eastAsia="Segoe UI"/>
          <w:lang w:val="en-GB"/>
        </w:rPr>
        <w:t>Unpublished Manuscript.</w:t>
      </w:r>
    </w:p>
    <w:p w14:paraId="0048FACD" w14:textId="77777777" w:rsidR="00CD33C4" w:rsidRDefault="00CD33C4" w:rsidP="002E691D">
      <w:pPr>
        <w:pStyle w:val="APAReference"/>
      </w:pPr>
      <w:r>
        <w:t xml:space="preserve">European Committee for Standardization. (n.d.). </w:t>
      </w:r>
      <w:r w:rsidRPr="6A0D869D">
        <w:rPr>
          <w:i/>
          <w:iCs/>
        </w:rPr>
        <w:t>CEN/TC 452—Assistance dogs</w:t>
      </w:r>
      <w:r>
        <w:t xml:space="preserve"> [Technical committee].</w:t>
      </w:r>
    </w:p>
    <w:p w14:paraId="227B8CF9" w14:textId="1D9A1237" w:rsidR="0034381E" w:rsidRDefault="0034381E" w:rsidP="0034381E">
      <w:pPr>
        <w:pStyle w:val="APAReference"/>
      </w:pPr>
      <w:r w:rsidRPr="0034381E">
        <w:t xml:space="preserve">International Guide Dog Federation. (n.d.). </w:t>
      </w:r>
      <w:r w:rsidRPr="0034381E">
        <w:rPr>
          <w:i/>
          <w:iCs/>
        </w:rPr>
        <w:t>Facts and figures</w:t>
      </w:r>
      <w:r w:rsidRPr="0034381E">
        <w:t>. https://www.igdf.org.uk/about-us/facts-and-figures/</w:t>
      </w:r>
    </w:p>
    <w:p w14:paraId="6F3ACC3F" w14:textId="10F1ACB6" w:rsidR="00567F78" w:rsidRPr="00567F78" w:rsidRDefault="00567F78" w:rsidP="002E691D">
      <w:pPr>
        <w:pStyle w:val="APAReference"/>
      </w:pPr>
      <w:r w:rsidRPr="00567F78">
        <w:lastRenderedPageBreak/>
        <w:t xml:space="preserve">International Guide Dog Federation. (2020). </w:t>
      </w:r>
      <w:r w:rsidRPr="00567F78">
        <w:rPr>
          <w:i/>
          <w:iCs/>
        </w:rPr>
        <w:t>International Guide Dog Federation standards 2020</w:t>
      </w:r>
      <w:r w:rsidRPr="00567F78">
        <w:t>. https://dogsinc.org/wp-content/uploads/2021/07/IGDF-Standards-2020.pdf</w:t>
      </w:r>
    </w:p>
    <w:p w14:paraId="4BB336FA" w14:textId="7A3FD813" w:rsidR="004E02CA" w:rsidRPr="00C625D1" w:rsidRDefault="00C625D1" w:rsidP="004E02CA">
      <w:pPr>
        <w:pStyle w:val="APAReference"/>
      </w:pPr>
      <w:r w:rsidRPr="00C625D1">
        <w:rPr>
          <w:lang w:val="en-US"/>
        </w:rPr>
        <w:t>Ballard, R. L., Ballard, S. J., &amp; Chu, L. E. (2023). “Oh, we are going to have a problem!”: Service dog access microaggressions, hyper-invisibility, and advocacy fatigue. In </w:t>
      </w:r>
      <w:r w:rsidRPr="00C625D1">
        <w:rPr>
          <w:i/>
          <w:iCs/>
          <w:lang w:val="en-US"/>
        </w:rPr>
        <w:t>R. L. Ballard &amp; S. J. Ballard (Eds.), The Palgrave Handbook of Disability and Communication</w:t>
      </w:r>
      <w:r w:rsidRPr="00C625D1">
        <w:rPr>
          <w:lang w:val="en-US"/>
        </w:rPr>
        <w:t> (pp. 331–350). Palgrave Macmillan</w:t>
      </w:r>
      <w:r w:rsidR="005020CE" w:rsidRPr="00C625D1">
        <w:rPr>
          <w:lang w:val="en-US"/>
        </w:rPr>
        <w:t>.</w:t>
      </w:r>
      <w:r w:rsidR="005020CE" w:rsidRPr="00C625D1">
        <w:t xml:space="preserve"> </w:t>
      </w:r>
      <w:r w:rsidR="00260A9B" w:rsidRPr="00260A9B">
        <w:t>https://link.springer.com/chapter/10.1007/978-3-031-14447-9_20</w:t>
      </w:r>
    </w:p>
    <w:p w14:paraId="21ABC02C" w14:textId="77777777" w:rsidR="00C625D1" w:rsidRPr="00C625D1" w:rsidRDefault="00C625D1" w:rsidP="002E691D">
      <w:pPr>
        <w:pStyle w:val="APAReference"/>
      </w:pPr>
      <w:r w:rsidRPr="00C625D1">
        <w:rPr>
          <w:lang w:val="en-US"/>
        </w:rPr>
        <w:t>Bender, Y., Matschkowski, T., Schweinberger, S. R., &amp; Bräuer, J. (2023). “An aid with soul”—Understanding the determinants of guide dog–owner compatibility from qualitative interviews. </w:t>
      </w:r>
      <w:r w:rsidRPr="00C625D1">
        <w:rPr>
          <w:i/>
          <w:iCs/>
          <w:lang w:val="en-US"/>
        </w:rPr>
        <w:t>Animals, 13</w:t>
      </w:r>
      <w:r w:rsidRPr="00C625D1">
        <w:rPr>
          <w:lang w:val="en-US"/>
        </w:rPr>
        <w:t>(17), 2751. </w:t>
      </w:r>
      <w:hyperlink r:id="rId13" w:tgtFrame="_blank" w:history="1">
        <w:r w:rsidRPr="00C625D1">
          <w:rPr>
            <w:rStyle w:val="Hyperlink"/>
            <w:lang w:val="en-US"/>
          </w:rPr>
          <w:t>https://doi.org/10.3390/ani13172751</w:t>
        </w:r>
      </w:hyperlink>
      <w:r w:rsidRPr="00C625D1">
        <w:t> </w:t>
      </w:r>
    </w:p>
    <w:p w14:paraId="54F828FB" w14:textId="77777777" w:rsidR="00C625D1" w:rsidRPr="00C625D1" w:rsidRDefault="00C625D1" w:rsidP="002E691D">
      <w:pPr>
        <w:pStyle w:val="APAReference"/>
      </w:pPr>
      <w:r w:rsidRPr="00C625D1">
        <w:rPr>
          <w:lang w:val="en-US"/>
        </w:rPr>
        <w:t>Gravrok, J., Bendrups, D., Howell, T., &amp; Bennett, P. (2019). Beyond the benefits of assistance dogs: Exploring challenges experienced by first</w:t>
      </w:r>
      <w:r w:rsidRPr="00C625D1">
        <w:rPr>
          <w:rFonts w:ascii="Cambria Math" w:hAnsi="Cambria Math" w:cs="Cambria Math"/>
          <w:lang w:val="en-US"/>
        </w:rPr>
        <w:t>‐</w:t>
      </w:r>
      <w:r w:rsidRPr="00C625D1">
        <w:rPr>
          <w:lang w:val="en-US"/>
        </w:rPr>
        <w:t>time handlers.</w:t>
      </w:r>
      <w:r w:rsidRPr="00C625D1">
        <w:rPr>
          <w:rFonts w:ascii="Aptos" w:hAnsi="Aptos" w:cs="Aptos"/>
          <w:lang w:val="en-US"/>
        </w:rPr>
        <w:t> </w:t>
      </w:r>
      <w:r w:rsidRPr="00C625D1">
        <w:rPr>
          <w:i/>
          <w:iCs/>
          <w:lang w:val="en-US"/>
        </w:rPr>
        <w:t>Animals, 9</w:t>
      </w:r>
      <w:r w:rsidRPr="00C625D1">
        <w:rPr>
          <w:lang w:val="en-US"/>
        </w:rPr>
        <w:t>(5), 203. </w:t>
      </w:r>
      <w:hyperlink r:id="rId14" w:tgtFrame="_blank" w:history="1">
        <w:r w:rsidRPr="00C625D1">
          <w:rPr>
            <w:rStyle w:val="Hyperlink"/>
            <w:lang w:val="en-US"/>
          </w:rPr>
          <w:t>https://doi.org/10.3390/ani9050203</w:t>
        </w:r>
      </w:hyperlink>
      <w:r w:rsidRPr="00C625D1">
        <w:t> </w:t>
      </w:r>
    </w:p>
    <w:p w14:paraId="4F490C96" w14:textId="77777777" w:rsidR="00C625D1" w:rsidRPr="00C625D1" w:rsidRDefault="00C625D1" w:rsidP="002E691D">
      <w:pPr>
        <w:pStyle w:val="APAReference"/>
      </w:pPr>
      <w:r w:rsidRPr="00C625D1">
        <w:rPr>
          <w:lang w:val="en-US"/>
        </w:rPr>
        <w:t xml:space="preserve">Lindsay, S., &amp; Thiyagarajah, K. (2022). A scoping review of the benefits and challenges of using service dogs for finding </w:t>
      </w:r>
      <w:r w:rsidRPr="00C625D1">
        <w:rPr>
          <w:lang w:val="en-US"/>
        </w:rPr>
        <w:lastRenderedPageBreak/>
        <w:t>and maintaining employment. </w:t>
      </w:r>
      <w:r w:rsidRPr="00C625D1">
        <w:rPr>
          <w:i/>
          <w:iCs/>
          <w:lang w:val="en-US"/>
        </w:rPr>
        <w:t>Journal of Occupational Rehabilitation, 32</w:t>
      </w:r>
      <w:r w:rsidRPr="00C625D1">
        <w:rPr>
          <w:lang w:val="en-US"/>
        </w:rPr>
        <w:t>(1), 27–43. </w:t>
      </w:r>
      <w:hyperlink r:id="rId15" w:tgtFrame="_blank" w:history="1">
        <w:r w:rsidRPr="00C625D1">
          <w:rPr>
            <w:rStyle w:val="Hyperlink"/>
            <w:lang w:val="en-US"/>
          </w:rPr>
          <w:t>https://doi.org/10.1007/s10926-021-09980-9</w:t>
        </w:r>
      </w:hyperlink>
      <w:r w:rsidRPr="00C625D1">
        <w:t> </w:t>
      </w:r>
    </w:p>
    <w:p w14:paraId="4074A372" w14:textId="77777777" w:rsidR="00C625D1" w:rsidRPr="00C625D1" w:rsidRDefault="00C625D1" w:rsidP="002E691D">
      <w:pPr>
        <w:pStyle w:val="APAReference"/>
      </w:pPr>
      <w:r w:rsidRPr="00C625D1">
        <w:rPr>
          <w:lang w:val="en-US"/>
        </w:rPr>
        <w:t>Leighton, S. C., Hofer, M. E., Miller, C. A., Mehl, M. R., Walker, T. D., MacLean, E. L., &amp; O’Haire, M. E. (2025). Obstacles to inclusion and threats to civil rights: An integrative review of the social experiences of service dog partners in the United States. </w:t>
      </w:r>
      <w:r w:rsidRPr="00C625D1">
        <w:rPr>
          <w:i/>
          <w:iCs/>
          <w:lang w:val="en-US"/>
        </w:rPr>
        <w:t>PLoS ONE, 20</w:t>
      </w:r>
      <w:r w:rsidRPr="00C625D1">
        <w:rPr>
          <w:lang w:val="en-US"/>
        </w:rPr>
        <w:t>(3), e0313864. </w:t>
      </w:r>
      <w:hyperlink r:id="rId16" w:tgtFrame="_blank" w:history="1">
        <w:r w:rsidRPr="00C625D1">
          <w:rPr>
            <w:rStyle w:val="Hyperlink"/>
            <w:lang w:val="en-US"/>
          </w:rPr>
          <w:t>https://doi.org/10.1371/journal.pone.0313864</w:t>
        </w:r>
      </w:hyperlink>
      <w:r w:rsidRPr="00C625D1">
        <w:t> </w:t>
      </w:r>
    </w:p>
    <w:p w14:paraId="55AF14CB" w14:textId="77777777" w:rsidR="00C625D1" w:rsidRPr="00C625D1" w:rsidRDefault="00C625D1" w:rsidP="002E691D">
      <w:pPr>
        <w:pStyle w:val="APAReference"/>
      </w:pPr>
      <w:r w:rsidRPr="00C625D1">
        <w:rPr>
          <w:lang w:val="en-US"/>
        </w:rPr>
        <w:t>Rickly, J. M., Halpern, N., Hansen, M., &amp; Welsman, J. (2021). Travelling with a guide dog: Experiences of people with vision impairment. </w:t>
      </w:r>
      <w:r w:rsidRPr="00C625D1">
        <w:rPr>
          <w:i/>
          <w:iCs/>
          <w:lang w:val="en-US"/>
        </w:rPr>
        <w:t>Sustainability, 13</w:t>
      </w:r>
      <w:r w:rsidRPr="00C625D1">
        <w:rPr>
          <w:lang w:val="en-US"/>
        </w:rPr>
        <w:t>(5), 2840. </w:t>
      </w:r>
      <w:hyperlink r:id="rId17" w:tgtFrame="_blank" w:history="1">
        <w:r w:rsidRPr="00C625D1">
          <w:rPr>
            <w:rStyle w:val="Hyperlink"/>
            <w:lang w:val="en-US"/>
          </w:rPr>
          <w:t>https://doi.org/10.3390/su13052840</w:t>
        </w:r>
      </w:hyperlink>
      <w:r w:rsidRPr="00C625D1">
        <w:t> </w:t>
      </w:r>
    </w:p>
    <w:p w14:paraId="38BD9B6B" w14:textId="77777777" w:rsidR="00C625D1" w:rsidRPr="00C625D1" w:rsidRDefault="00C625D1" w:rsidP="002E691D">
      <w:pPr>
        <w:pStyle w:val="APAReference"/>
      </w:pPr>
      <w:r w:rsidRPr="00C625D1">
        <w:rPr>
          <w:lang w:val="en-US"/>
        </w:rPr>
        <w:t>Silverman, A. M., Rhoads, C. R., Bolander, E., &amp; Bleach, K. (2022). </w:t>
      </w:r>
      <w:r w:rsidRPr="00C625D1">
        <w:rPr>
          <w:i/>
          <w:iCs/>
          <w:lang w:val="en-US"/>
        </w:rPr>
        <w:t>The role of guide dogs in 2022 and beyond: Findings from a GDB–AFB research partnership</w:t>
      </w:r>
      <w:r w:rsidRPr="00C625D1">
        <w:rPr>
          <w:lang w:val="en-US"/>
        </w:rPr>
        <w:t>. American Foundation for the Blind &amp; Guide Dogs for the Blind. Retrieved from </w:t>
      </w:r>
      <w:hyperlink r:id="rId18" w:tgtFrame="_blank" w:history="1">
        <w:r w:rsidRPr="00C625D1">
          <w:rPr>
            <w:rStyle w:val="Hyperlink"/>
            <w:lang w:val="en-US"/>
          </w:rPr>
          <w:t>https://www.afb.org/research-and-initiatives/research/role-guide-dogs-2022-and-beyond</w:t>
        </w:r>
      </w:hyperlink>
      <w:r w:rsidRPr="00C625D1">
        <w:t> </w:t>
      </w:r>
    </w:p>
    <w:p w14:paraId="7CF1EFFE" w14:textId="6FB34FE2" w:rsidR="005E2531" w:rsidRDefault="005E2531" w:rsidP="002E691D">
      <w:pPr>
        <w:pStyle w:val="APAReference"/>
        <w:rPr>
          <w:lang w:val="en-US"/>
        </w:rPr>
      </w:pPr>
      <w:r w:rsidRPr="005E2531">
        <w:rPr>
          <w:lang w:val="en-US"/>
        </w:rPr>
        <w:t xml:space="preserve">Walther S, Yamamoto M, Thigpen AP, Willits </w:t>
      </w:r>
      <w:r w:rsidR="005020CE" w:rsidRPr="005E2531">
        <w:rPr>
          <w:lang w:val="en-US"/>
        </w:rPr>
        <w:t>NH,</w:t>
      </w:r>
      <w:r w:rsidRPr="005E2531">
        <w:rPr>
          <w:lang w:val="en-US"/>
        </w:rPr>
        <w:t xml:space="preserve"> and Hart LA (2019) Geographic Availability of Assistance Dogs: Dogs Placed in 2013–2014 by ADI- or IGDF-Accredited or Candidate Facilities in the United States </w:t>
      </w:r>
      <w:r w:rsidRPr="005E2531">
        <w:rPr>
          <w:lang w:val="en-US"/>
        </w:rPr>
        <w:lastRenderedPageBreak/>
        <w:t>and Canada, and Non-accredited U.S. Facilities. Front. Vet. Sci. 6:349. doi: 10.3389/fvets.2019.00349</w:t>
      </w:r>
    </w:p>
    <w:p w14:paraId="5D003262" w14:textId="049FAE64" w:rsidR="00C625D1" w:rsidRPr="00C625D1" w:rsidRDefault="00C625D1" w:rsidP="002E691D">
      <w:pPr>
        <w:pStyle w:val="APAReference"/>
      </w:pPr>
      <w:r w:rsidRPr="00C625D1">
        <w:rPr>
          <w:lang w:val="en-US"/>
        </w:rPr>
        <w:t>Whitmarsh, L. (2005). The benefits of guide dog ownership. </w:t>
      </w:r>
      <w:r w:rsidRPr="00C625D1">
        <w:rPr>
          <w:i/>
          <w:iCs/>
          <w:lang w:val="en-US"/>
        </w:rPr>
        <w:t>Visual Impairment Research, 7</w:t>
      </w:r>
      <w:r w:rsidRPr="00C625D1">
        <w:rPr>
          <w:lang w:val="en-US"/>
        </w:rPr>
        <w:t>(1), 27–42. </w:t>
      </w:r>
      <w:hyperlink r:id="rId19" w:tgtFrame="_blank" w:history="1">
        <w:r w:rsidRPr="00C625D1">
          <w:rPr>
            <w:rStyle w:val="Hyperlink"/>
            <w:lang w:val="en-US"/>
          </w:rPr>
          <w:t>https://doi.org/10.1080/13882350590956439</w:t>
        </w:r>
      </w:hyperlink>
      <w:r w:rsidRPr="00C625D1">
        <w:t> </w:t>
      </w:r>
    </w:p>
    <w:p w14:paraId="6B99C39F" w14:textId="77777777" w:rsidR="00C625D1" w:rsidRPr="00C625D1" w:rsidRDefault="00C625D1" w:rsidP="002E691D">
      <w:pPr>
        <w:pStyle w:val="APAReference"/>
      </w:pPr>
      <w:r w:rsidRPr="00C625D1">
        <w:rPr>
          <w:lang w:val="en-US"/>
        </w:rPr>
        <w:t>Zier, E. R. (2020). Which one to follow? Service animal policy in the United States. </w:t>
      </w:r>
      <w:r w:rsidRPr="00C625D1">
        <w:rPr>
          <w:i/>
          <w:iCs/>
          <w:lang w:val="en-US"/>
        </w:rPr>
        <w:t>Disability and Health Journal, 13</w:t>
      </w:r>
      <w:r w:rsidRPr="00C625D1">
        <w:rPr>
          <w:lang w:val="en-US"/>
        </w:rPr>
        <w:t>(3), 100907. </w:t>
      </w:r>
      <w:hyperlink r:id="rId20" w:tgtFrame="_blank" w:history="1">
        <w:r w:rsidRPr="00C625D1">
          <w:rPr>
            <w:rStyle w:val="Hyperlink"/>
            <w:lang w:val="en-US"/>
          </w:rPr>
          <w:t>https://doi.org/10.1016/j.dhjo.2020.100907</w:t>
        </w:r>
      </w:hyperlink>
      <w:r w:rsidRPr="00C625D1">
        <w:t> </w:t>
      </w:r>
    </w:p>
    <w:p w14:paraId="4282EAC8" w14:textId="77777777" w:rsidR="00B718E1" w:rsidRDefault="00B718E1" w:rsidP="002E691D">
      <w:pPr>
        <w:pStyle w:val="APAReference"/>
      </w:pPr>
    </w:p>
    <w:p w14:paraId="397807A1" w14:textId="77777777" w:rsidR="009302C8" w:rsidRDefault="009302C8" w:rsidP="00F0381D">
      <w:pPr>
        <w:rPr>
          <w:rFonts w:eastAsiaTheme="majorEastAsia" w:cstheme="majorBidi"/>
          <w:sz w:val="40"/>
          <w:szCs w:val="40"/>
        </w:rPr>
      </w:pPr>
      <w:r>
        <w:br w:type="page"/>
      </w:r>
    </w:p>
    <w:p w14:paraId="2AE0F01B" w14:textId="4953DD63" w:rsidR="00C24628" w:rsidRDefault="00C24628" w:rsidP="0055692A">
      <w:pPr>
        <w:pStyle w:val="Heading1"/>
      </w:pPr>
      <w:bookmarkStart w:id="217" w:name="_Toc228394686"/>
      <w:r>
        <w:lastRenderedPageBreak/>
        <w:t xml:space="preserve">Appendix A: Original </w:t>
      </w:r>
      <w:r w:rsidR="00D01960">
        <w:t xml:space="preserve">Twenty-three Report </w:t>
      </w:r>
      <w:r w:rsidR="009302C8">
        <w:t>Recommendations</w:t>
      </w:r>
      <w:bookmarkEnd w:id="217"/>
    </w:p>
    <w:p w14:paraId="6D8DAE7A" w14:textId="27E9027E" w:rsidR="00DB2EC2" w:rsidRPr="00DB2EC2" w:rsidRDefault="00DB2EC2" w:rsidP="00803D9D">
      <w:pPr>
        <w:pStyle w:val="Heading2"/>
      </w:pPr>
      <w:bookmarkStart w:id="218" w:name="_Toc228294127"/>
      <w:r>
        <w:t>Explanatory Note:</w:t>
      </w:r>
      <w:bookmarkEnd w:id="218"/>
    </w:p>
    <w:p w14:paraId="1CE4D4F0" w14:textId="77777777" w:rsidR="00794440" w:rsidRDefault="00794440">
      <w:pPr>
        <w:spacing w:after="240"/>
        <w:rPr>
          <w:lang w:eastAsia="en-CA"/>
        </w:rPr>
      </w:pPr>
      <w:bookmarkStart w:id="219" w:name="_Toc228294128"/>
      <w:r>
        <w:t>As a result of these findings, recommendations towards the federal, provincial governments, and industries such as the taxi, ride-share and airline industries, as well as other policymakers are listed below. They were reviewed and driven by stakeholders involved in the project.  Therefore, they are reproduced in their original format.</w:t>
      </w:r>
    </w:p>
    <w:p w14:paraId="37664F18" w14:textId="6CE2DEFF" w:rsidR="00F55AD1" w:rsidRPr="004F537A" w:rsidRDefault="00F55AD1" w:rsidP="00803D9D">
      <w:pPr>
        <w:pStyle w:val="Heading2"/>
      </w:pPr>
      <w:r w:rsidRPr="004F537A">
        <w:t>Modify Provincial Legislation</w:t>
      </w:r>
      <w:bookmarkEnd w:id="219"/>
    </w:p>
    <w:p w14:paraId="6AF51333" w14:textId="70855380" w:rsidR="00F55AD1" w:rsidRDefault="00F55AD1" w:rsidP="00F0381D">
      <w:r>
        <w:t xml:space="preserve">Given that access rights to guide dog users are inherent human </w:t>
      </w:r>
      <w:r w:rsidR="003A5F35">
        <w:t>rights and</w:t>
      </w:r>
      <w:r>
        <w:t xml:space="preserve"> given that positive guide dog behaviour is the truest test of a working guide dog, it is recommended that all provincial legislation be modified to remove references to certification and identification requirements for guide dog handlers. </w:t>
      </w:r>
    </w:p>
    <w:p w14:paraId="56EE704E" w14:textId="59E1C4DC" w:rsidR="00F55AD1" w:rsidRPr="004F537A" w:rsidRDefault="00F55AD1" w:rsidP="00803D9D">
      <w:pPr>
        <w:pStyle w:val="Heading2"/>
      </w:pPr>
      <w:bookmarkStart w:id="220" w:name="_Toc228294129"/>
      <w:r w:rsidRPr="004F537A">
        <w:lastRenderedPageBreak/>
        <w:t>Recognition of Public Access Rights &amp; Obligations</w:t>
      </w:r>
      <w:bookmarkEnd w:id="220"/>
    </w:p>
    <w:p w14:paraId="14574604" w14:textId="77777777" w:rsidR="00F55AD1" w:rsidRDefault="00F55AD1" w:rsidP="00F0381D">
      <w:r>
        <w:t xml:space="preserve">Given that some Canadian legislation, as well as human rights commissions, recognize that owner-trained dogs have the same public access rights and obligations as “program” trained dogs, it is recommended that all jurisdictions in Canada equally recognize these public access rights and obligations, without the need for separate certification processes. </w:t>
      </w:r>
    </w:p>
    <w:p w14:paraId="7325CD95" w14:textId="2FF7EB94" w:rsidR="00F55AD1" w:rsidRPr="004F537A" w:rsidRDefault="00F55AD1" w:rsidP="00803D9D">
      <w:pPr>
        <w:pStyle w:val="Heading2"/>
      </w:pPr>
      <w:bookmarkStart w:id="221" w:name="_Toc228294130"/>
      <w:r w:rsidRPr="004F537A">
        <w:t>Promote Behaviour-Based Identification</w:t>
      </w:r>
      <w:bookmarkEnd w:id="221"/>
      <w:r w:rsidRPr="004F537A">
        <w:t xml:space="preserve"> </w:t>
      </w:r>
    </w:p>
    <w:p w14:paraId="0C4CCDEF" w14:textId="77777777" w:rsidR="00F55AD1" w:rsidRDefault="00F55AD1" w:rsidP="00F0381D">
      <w:r>
        <w:t xml:space="preserve">Any national, provincial, or local public education campaign focussing on guide dog issues should convey messages about the importance of identifying well-trained guide dogs by their behaviour, rather than having to make a request to produce identification. These messages should include information about how guide dogs are identified by the equipment they wear, as well as provide the public with scenarios about guide dog behaviour in various public environments </w:t>
      </w:r>
    </w:p>
    <w:p w14:paraId="79850696" w14:textId="49E3595F" w:rsidR="00F55AD1" w:rsidRDefault="00F55AD1" w:rsidP="00803D9D">
      <w:pPr>
        <w:pStyle w:val="Heading2"/>
      </w:pPr>
      <w:bookmarkStart w:id="222" w:name="_Toc228294131"/>
      <w:r w:rsidRPr="004F537A">
        <w:lastRenderedPageBreak/>
        <w:t>Documentation Standardization</w:t>
      </w:r>
      <w:bookmarkEnd w:id="222"/>
    </w:p>
    <w:p w14:paraId="7F5AB49B" w14:textId="1EB235E6" w:rsidR="00F55AD1" w:rsidRDefault="00F55AD1" w:rsidP="00F0381D">
      <w:r>
        <w:t xml:space="preserve">The Canadian Transportation Agency’s (CTA) requirements for air transportation documentation for passengers who are blind, deafblind, and partially sighted, including the </w:t>
      </w:r>
      <w:r w:rsidR="005020CE">
        <w:t>required</w:t>
      </w:r>
      <w:r>
        <w:t xml:space="preserve"> documentation for passengers travelling with guide dogs, be standardized. That is, the CTA should require that only one form of documentation is required, that this documentation be kept on file, with the consent of each individual, for a period of up to at least three years, and that the way of providing this documentation be streamlined via an App and/or tied to a passenger’s frequent flyer number. Furthermore, updating this documentation is required only when the circumstances of these air passengers change.</w:t>
      </w:r>
    </w:p>
    <w:p w14:paraId="55CF91EC" w14:textId="31E879D0" w:rsidR="00F55AD1" w:rsidRPr="00B13D4F" w:rsidRDefault="00F55AD1" w:rsidP="00803D9D">
      <w:pPr>
        <w:pStyle w:val="Heading2"/>
      </w:pPr>
      <w:bookmarkStart w:id="223" w:name="_Toc228294132"/>
      <w:r w:rsidRPr="00B13D4F">
        <w:t>Availability of Needs &amp; Requirements</w:t>
      </w:r>
      <w:bookmarkEnd w:id="223"/>
    </w:p>
    <w:p w14:paraId="171DEF11" w14:textId="77777777" w:rsidR="00F55AD1" w:rsidRDefault="00F55AD1" w:rsidP="00F0381D">
      <w:r>
        <w:t xml:space="preserve">The needs and requirements of air passengers who are blind, deafblind, and partially sighted, as recorded in their flight locator number, should be available to all personnel at all points along the air travel ecosystem–from booking agents to airline check-in counters to the Canadian Air Transport Security Authority to the Canada Border Services Agency and on-flight personnel. </w:t>
      </w:r>
    </w:p>
    <w:p w14:paraId="72691AF7" w14:textId="3E95F468" w:rsidR="00F55AD1" w:rsidRPr="004F537A" w:rsidRDefault="00F55AD1" w:rsidP="00803D9D">
      <w:pPr>
        <w:pStyle w:val="Heading2"/>
      </w:pPr>
      <w:bookmarkStart w:id="224" w:name="_Toc228294133"/>
      <w:r w:rsidRPr="004F537A">
        <w:lastRenderedPageBreak/>
        <w:t>Enhanced Training</w:t>
      </w:r>
      <w:bookmarkEnd w:id="224"/>
    </w:p>
    <w:p w14:paraId="453C73FC" w14:textId="77777777" w:rsidR="00F55AD1" w:rsidRDefault="00F55AD1" w:rsidP="00F0381D">
      <w:r>
        <w:t>Training with respect to the needs and requirements of passengers who are blind, deafblind, and partially sighted takes place with personnel at all points along the air travel ecosystem– from booking agents to airline check-in counters to the Canadian Air Transport Security Authority to the Canada Border Services Agency, to on-flight personnel in order to ensure there is consistent and dignified treatment of these passengers.</w:t>
      </w:r>
    </w:p>
    <w:p w14:paraId="3B3A66EF" w14:textId="19CE1D70" w:rsidR="00F55AD1" w:rsidRPr="004F537A" w:rsidRDefault="00F55AD1" w:rsidP="00803D9D">
      <w:pPr>
        <w:pStyle w:val="Heading2"/>
      </w:pPr>
      <w:bookmarkStart w:id="225" w:name="_Toc228294134"/>
      <w:r w:rsidRPr="004F537A">
        <w:t>Regular Auditing</w:t>
      </w:r>
      <w:bookmarkEnd w:id="225"/>
    </w:p>
    <w:p w14:paraId="4A8BB73D" w14:textId="77777777" w:rsidR="00F55AD1" w:rsidRDefault="00F55AD1" w:rsidP="00F0381D">
      <w:r>
        <w:t>The CTA ought to institute a formal process whereby it regularly audits the air travel regulations regarding passengers who are blind, deafblind, and partially sighted to ensure compliance with those regulations.</w:t>
      </w:r>
    </w:p>
    <w:p w14:paraId="6D0185E2" w14:textId="134C1B7F" w:rsidR="00F55AD1" w:rsidRPr="004F537A" w:rsidRDefault="00F55AD1" w:rsidP="00803D9D">
      <w:pPr>
        <w:pStyle w:val="Heading2"/>
      </w:pPr>
      <w:bookmarkStart w:id="226" w:name="_Toc228294135"/>
      <w:r w:rsidRPr="004F537A">
        <w:t>Training Taxi &amp; Ride-Share Services</w:t>
      </w:r>
      <w:bookmarkEnd w:id="226"/>
      <w:r w:rsidRPr="004F537A">
        <w:t xml:space="preserve"> </w:t>
      </w:r>
    </w:p>
    <w:p w14:paraId="6E7A306D" w14:textId="77777777" w:rsidR="00F55AD1" w:rsidRDefault="00F55AD1" w:rsidP="00F0381D">
      <w:r>
        <w:t xml:space="preserve">More training must take place with taxi and ride-share companies and their respective drivers regarding the rights and needs of guide dog handlers. This should include the appropriate treatment of allergy issues with respect to all taxi and ride-share drivers in all jurisdictions in Canada. Further, it’s recommended that all taxi and ride-share companies </w:t>
      </w:r>
      <w:r>
        <w:lastRenderedPageBreak/>
        <w:t>immediately introduce a “zero tolerance policy” whereby if a taxi or ride-share driver refuses to transport a guide dog handler, that driver will be immediately suspended, lose their taxi license, and/or be removed from the ride-share platform.</w:t>
      </w:r>
    </w:p>
    <w:p w14:paraId="60A0B337" w14:textId="69C78763" w:rsidR="00F55AD1" w:rsidRPr="004F537A" w:rsidRDefault="00F55AD1" w:rsidP="00803D9D">
      <w:pPr>
        <w:pStyle w:val="Heading2"/>
      </w:pPr>
      <w:bookmarkStart w:id="227" w:name="_Toc228294136"/>
      <w:r w:rsidRPr="004F537A">
        <w:t>Option for Guide Dog Handlers to Identify Themselves</w:t>
      </w:r>
      <w:bookmarkEnd w:id="227"/>
    </w:p>
    <w:p w14:paraId="10083B4C" w14:textId="77777777" w:rsidR="00F55AD1" w:rsidRDefault="00F55AD1" w:rsidP="00F0381D">
      <w:r>
        <w:t>While the Canadian guide dog user community believes that guide dog users should not be required to disclose to taxi and ride-share services that they are travelling with a guide dog in order to receive service, it is, nevertheless, recommended that taxi and ride-share companies immediately introduce systems within their online applications as well as dispatch systems in order to give guide dog handlers the choice of whether or not to identify themselves as travelling with a guide dog. This will ensure that only drivers who do not have allergies to dogs will be dispatched (in the case of taxis) or accepting of a ride (in the case of ride-shares).</w:t>
      </w:r>
    </w:p>
    <w:p w14:paraId="2962AF14" w14:textId="2B2581D9" w:rsidR="00C03884" w:rsidRDefault="00C03884" w:rsidP="00803D9D">
      <w:pPr>
        <w:pStyle w:val="Heading2"/>
      </w:pPr>
      <w:bookmarkStart w:id="228" w:name="_Toc228294137"/>
      <w:r>
        <w:lastRenderedPageBreak/>
        <w:t xml:space="preserve"> </w:t>
      </w:r>
      <w:r w:rsidRPr="004F537A">
        <w:t>Introduction of Ride-Share Metrics</w:t>
      </w:r>
      <w:bookmarkEnd w:id="228"/>
    </w:p>
    <w:p w14:paraId="3428F836" w14:textId="77777777" w:rsidR="00F55AD1" w:rsidRDefault="00F55AD1" w:rsidP="00F0381D">
      <w:r>
        <w:t>It is recommended that ride-share companies immediately introduce Key Performance Metrics within their driver-platform applications to identify issues such as driver refusals, outright cancellations, and cancellations due to allergies and religious reasons. These metrics will be used to identify key reasons for guide dog refusals by ride-share drivers.</w:t>
      </w:r>
    </w:p>
    <w:p w14:paraId="22C6F2C1" w14:textId="021D7703" w:rsidR="00F55AD1" w:rsidRDefault="00C03884" w:rsidP="00803D9D">
      <w:pPr>
        <w:pStyle w:val="Heading2"/>
      </w:pPr>
      <w:bookmarkStart w:id="229" w:name="_Toc228294138"/>
      <w:r>
        <w:t xml:space="preserve"> </w:t>
      </w:r>
      <w:r w:rsidR="00F55AD1" w:rsidRPr="004F537A">
        <w:t>Introduction of Community Leaders</w:t>
      </w:r>
      <w:bookmarkEnd w:id="229"/>
    </w:p>
    <w:p w14:paraId="455BA65D" w14:textId="35CC9078" w:rsidR="00F55AD1" w:rsidRPr="000501A9" w:rsidRDefault="00F55AD1" w:rsidP="00F0381D">
      <w:r>
        <w:t xml:space="preserve">It is recommended that a champion (or champions) be </w:t>
      </w:r>
      <w:r w:rsidR="003A5F35">
        <w:t>identified at</w:t>
      </w:r>
      <w:r>
        <w:t xml:space="preserve"> the national, provincial, and local levels to help provide leadership </w:t>
      </w:r>
      <w:r w:rsidR="005020CE">
        <w:t>in</w:t>
      </w:r>
      <w:r>
        <w:t xml:space="preserve"> accessible transportation for persons with disabilities, with an emphasis on guide dog users, across all transportation systems in these jurisdictions. And furthermore, that such a champion is to be a person of influence in order that significant positive change will occur.</w:t>
      </w:r>
    </w:p>
    <w:p w14:paraId="680A05DD" w14:textId="1403DAF1" w:rsidR="00F55AD1" w:rsidRDefault="00C03884" w:rsidP="00803D9D">
      <w:pPr>
        <w:pStyle w:val="Heading2"/>
      </w:pPr>
      <w:bookmarkStart w:id="230" w:name="_Toc228294139"/>
      <w:r>
        <w:t xml:space="preserve"> </w:t>
      </w:r>
      <w:r w:rsidR="00F55AD1" w:rsidRPr="008F43A6">
        <w:t>Grandfather in Standardizations</w:t>
      </w:r>
      <w:bookmarkEnd w:id="230"/>
    </w:p>
    <w:p w14:paraId="638FE572" w14:textId="77777777" w:rsidR="00F55AD1" w:rsidRDefault="00F55AD1" w:rsidP="00F0381D">
      <w:r>
        <w:t xml:space="preserve">It is recommended that organizations like the Standards Council of Canada and the standards development organizations it accredits, recognize, whenever they are considering the development of new standards for service </w:t>
      </w:r>
      <w:r>
        <w:lastRenderedPageBreak/>
        <w:t>dogs and other assisted animal services,  that appropriate standards and certifications are already sufficient for guide dog users as part of their certification under guide dog programs of the International Guide Dog Federation (IGDF) and Assistance Dogs International (ADI).</w:t>
      </w:r>
    </w:p>
    <w:p w14:paraId="2262316A" w14:textId="70EA4826" w:rsidR="00F55AD1" w:rsidRDefault="00C03884" w:rsidP="00803D9D">
      <w:pPr>
        <w:pStyle w:val="Heading2"/>
      </w:pPr>
      <w:bookmarkStart w:id="231" w:name="_Toc228294140"/>
      <w:r>
        <w:t xml:space="preserve"> </w:t>
      </w:r>
      <w:r w:rsidR="00F55AD1" w:rsidRPr="008F43A6">
        <w:t>Elimination of Barriers &amp; Inclusion of Rights with Future Regulations</w:t>
      </w:r>
      <w:bookmarkEnd w:id="231"/>
    </w:p>
    <w:p w14:paraId="2C0E71AC" w14:textId="77777777" w:rsidR="00F55AD1" w:rsidRDefault="00F55AD1" w:rsidP="00F0381D">
      <w:r>
        <w:t>Because guide dog issues touch on all areas governed by the Accessible Canada Act (ACA), it is recommended that all regulations, standards, and policies which fall under the ACA, either currently in force, under development, or to be developed in the future, apply a lens towards eliminating any barriers to guide dogs in the development of those Regulations, standards or policies. Furthermore, the development of such regulations, standards or policies should include proactive measures to include the rights and needs of guide dog users in those regulations, standards, and policies.</w:t>
      </w:r>
    </w:p>
    <w:p w14:paraId="412B95DF" w14:textId="0F2D472A" w:rsidR="00F55AD1" w:rsidRDefault="00C03884" w:rsidP="00803D9D">
      <w:pPr>
        <w:pStyle w:val="Heading2"/>
      </w:pPr>
      <w:bookmarkStart w:id="232" w:name="_Toc228294141"/>
      <w:r>
        <w:lastRenderedPageBreak/>
        <w:t xml:space="preserve"> </w:t>
      </w:r>
      <w:r w:rsidR="00F55AD1" w:rsidRPr="008F43A6">
        <w:t>Increase in Fines</w:t>
      </w:r>
      <w:bookmarkEnd w:id="232"/>
      <w:r w:rsidR="00F55AD1" w:rsidRPr="008F43A6">
        <w:t xml:space="preserve"> </w:t>
      </w:r>
    </w:p>
    <w:p w14:paraId="4021634E" w14:textId="77777777" w:rsidR="00F55AD1" w:rsidRDefault="00F55AD1" w:rsidP="00F0381D">
      <w:r>
        <w:t>It is recommended that provinces which have specific legislation on guide dog handlers’ rights such as B.C., Alberta, Ontario and Nova Scotia, as well as provincial and territorial human rights commissions, increase all fines levied in the case of conviction of a public access refusal to a level in keeping with some international jurisdictions such as Israel. This increase should be to a level not less than $25,000 Canadian dollars for a conviction on a first offense, and not less than $40,000 for every conviction afterwards. In addition, courts and tribunals are encouraged to maintain fines for those pleading guilty to a level no lower than $5,000.</w:t>
      </w:r>
    </w:p>
    <w:p w14:paraId="5BEB7243" w14:textId="163C0622" w:rsidR="00F55AD1" w:rsidRDefault="00C03884" w:rsidP="00803D9D">
      <w:pPr>
        <w:pStyle w:val="Heading2"/>
      </w:pPr>
      <w:bookmarkStart w:id="233" w:name="_Toc228294142"/>
      <w:r>
        <w:t xml:space="preserve"> </w:t>
      </w:r>
      <w:r w:rsidR="00F55AD1" w:rsidRPr="008F43A6">
        <w:t>Police Training &amp; Evaluations on Legislation</w:t>
      </w:r>
      <w:bookmarkEnd w:id="233"/>
    </w:p>
    <w:p w14:paraId="728B66C1" w14:textId="77777777" w:rsidR="00F55AD1" w:rsidRDefault="00F55AD1" w:rsidP="00F0381D">
      <w:r>
        <w:t xml:space="preserve">It is recommended that all provincial and municipal police forces that are responsible for enforcing guide dog rights legislation within their provinces receive mandatory training on that legislation. This training should be developed with members of the Canadian guide dog community. In </w:t>
      </w:r>
      <w:r>
        <w:lastRenderedPageBreak/>
        <w:t>addition, annual evaluations must take place with these relevant jurisdictions to determine police awareness of this relevant legislation.</w:t>
      </w:r>
    </w:p>
    <w:p w14:paraId="68F1E1F6" w14:textId="5484E97D" w:rsidR="00F55AD1" w:rsidRDefault="00C03884" w:rsidP="00803D9D">
      <w:pPr>
        <w:pStyle w:val="Heading2"/>
      </w:pPr>
      <w:bookmarkStart w:id="234" w:name="_Toc228294143"/>
      <w:r>
        <w:t xml:space="preserve"> </w:t>
      </w:r>
      <w:r w:rsidR="00F55AD1" w:rsidRPr="008F43A6">
        <w:t>Pan-Canadian Plan</w:t>
      </w:r>
      <w:bookmarkEnd w:id="234"/>
    </w:p>
    <w:p w14:paraId="22769148" w14:textId="77777777" w:rsidR="00F55AD1" w:rsidRDefault="00F55AD1" w:rsidP="00F0381D">
      <w:r>
        <w:t>It is recommended that the Canadian human rights commission convene a meeting with provincial/territorial human rights commissions to develop a pan-Canadian plan to remove/eliminate barriers encountered by guide dog handlers.</w:t>
      </w:r>
    </w:p>
    <w:p w14:paraId="39B034BF" w14:textId="79FC102F" w:rsidR="00F55AD1" w:rsidRDefault="00C03884" w:rsidP="00803D9D">
      <w:pPr>
        <w:pStyle w:val="Heading2"/>
      </w:pPr>
      <w:bookmarkStart w:id="235" w:name="_Toc228294144"/>
      <w:r>
        <w:t xml:space="preserve"> </w:t>
      </w:r>
      <w:r w:rsidR="00F55AD1" w:rsidRPr="008F43A6">
        <w:t>Effective Processes</w:t>
      </w:r>
      <w:bookmarkEnd w:id="235"/>
    </w:p>
    <w:p w14:paraId="37E46911" w14:textId="77777777" w:rsidR="00F55AD1" w:rsidRDefault="00F55AD1" w:rsidP="00F0381D">
      <w:r>
        <w:t xml:space="preserve">It is recommended that human rights commissions institute more effective processes for resolving guide dog access denial complaints. These should include ensuring the accessibility of documents, simplifying the complaints process, and reducing the timeframes of these processes. In addition, special attention should be given to the fact that because access denials are clear and tangible examples of discrimination, a rapid response mechanism must be found to deal with these issues in a more expedited manner. </w:t>
      </w:r>
    </w:p>
    <w:p w14:paraId="509F774F" w14:textId="3A245FAE" w:rsidR="00F55AD1" w:rsidRDefault="00C03884" w:rsidP="00803D9D">
      <w:pPr>
        <w:pStyle w:val="Heading2"/>
      </w:pPr>
      <w:bookmarkStart w:id="236" w:name="_Toc228294145"/>
      <w:r>
        <w:lastRenderedPageBreak/>
        <w:t xml:space="preserve"> </w:t>
      </w:r>
      <w:r w:rsidR="00F55AD1" w:rsidRPr="008F43A6">
        <w:t>Relax Reliance on Visual Evidence</w:t>
      </w:r>
      <w:bookmarkEnd w:id="236"/>
    </w:p>
    <w:p w14:paraId="10B0EC24" w14:textId="3D042330" w:rsidR="00F55AD1" w:rsidRDefault="005020CE" w:rsidP="00F0381D">
      <w:r>
        <w:t>To</w:t>
      </w:r>
      <w:r w:rsidR="00F55AD1">
        <w:t xml:space="preserve"> allow guide dog users to reduce their reliance on visual evidence during human rights tribunal hearings, it is recommended that efforts be made within those hearings to relax the rules of evidence, allowing for the presentation of other types of credible and trustworthy evidence such as hearsay. </w:t>
      </w:r>
    </w:p>
    <w:p w14:paraId="6E5FDDC4" w14:textId="2126937E" w:rsidR="00F55AD1" w:rsidRDefault="00C03884" w:rsidP="00803D9D">
      <w:pPr>
        <w:pStyle w:val="Heading2"/>
      </w:pPr>
      <w:bookmarkStart w:id="237" w:name="_Toc228294146"/>
      <w:r>
        <w:t xml:space="preserve"> </w:t>
      </w:r>
      <w:r w:rsidR="00F55AD1" w:rsidRPr="008F43A6">
        <w:t>Education of Business and Service Providers</w:t>
      </w:r>
      <w:bookmarkEnd w:id="237"/>
    </w:p>
    <w:p w14:paraId="6ECBAD59" w14:textId="77777777" w:rsidR="00F55AD1" w:rsidRDefault="00F55AD1" w:rsidP="00F0381D">
      <w:r>
        <w:t>It is recommended that public education takes place with respect to business and service providers to help them better understand their rights and obligations with respect to guide and service dogs. Special emphasis should be placed on ensuring that businesses and service providers are equipped to identify situations where poor behaviour of any animal, including working dogs in their place of business, may require a business owner to enforce their right to ask that the pet, or working animal, leave their premises.</w:t>
      </w:r>
    </w:p>
    <w:p w14:paraId="16C626FF" w14:textId="55D9C546" w:rsidR="00F55AD1" w:rsidRDefault="00C03884" w:rsidP="00803D9D">
      <w:pPr>
        <w:pStyle w:val="Heading2"/>
      </w:pPr>
      <w:bookmarkStart w:id="238" w:name="_Toc228294147"/>
      <w:r>
        <w:lastRenderedPageBreak/>
        <w:t xml:space="preserve"> </w:t>
      </w:r>
      <w:r w:rsidR="00F55AD1" w:rsidRPr="008F43A6">
        <w:t>Declaration of Dog Allergies</w:t>
      </w:r>
      <w:bookmarkEnd w:id="238"/>
      <w:r w:rsidR="00F55AD1" w:rsidRPr="008F43A6">
        <w:t xml:space="preserve"> </w:t>
      </w:r>
    </w:p>
    <w:p w14:paraId="4AD2BB42" w14:textId="7B21119B" w:rsidR="00F55AD1" w:rsidRDefault="00F55AD1" w:rsidP="00F0381D">
      <w:r>
        <w:t xml:space="preserve">It is recommended that employers and service providers such as airlines, the taxi and ride-share industries,  and educational institutions provide employees, workers, clients and stakeholders with opportunities to identify severe dog allergies, so that their exposure to guide dogs will be limited and better anticipated, and that both the guide dog handler and individual with the allergy may be accommodated. It is further recommended that, in all cases, </w:t>
      </w:r>
      <w:r w:rsidR="003A5F35">
        <w:t>s</w:t>
      </w:r>
      <w:r>
        <w:t xml:space="preserve">upporting documentation from a certified medical professional be required to support allergy exemptions. Thirdly, In the case of airlines, it is recommended that a provision be added at the time of booking so air passengers </w:t>
      </w:r>
      <w:r w:rsidR="005020CE">
        <w:t>can</w:t>
      </w:r>
      <w:r>
        <w:t xml:space="preserve"> declare a severe allergy which may pose a serious health risk if traveling in proximity to a guide or service dog. </w:t>
      </w:r>
    </w:p>
    <w:p w14:paraId="1166BCC7" w14:textId="12DA1163" w:rsidR="00F55AD1" w:rsidRDefault="00C03884" w:rsidP="00803D9D">
      <w:pPr>
        <w:pStyle w:val="Heading2"/>
      </w:pPr>
      <w:bookmarkStart w:id="239" w:name="_Toc228294148"/>
      <w:r>
        <w:t xml:space="preserve"> </w:t>
      </w:r>
      <w:r w:rsidR="00F55AD1" w:rsidRPr="008F43A6">
        <w:t>Federally Subsidized Public Education</w:t>
      </w:r>
      <w:bookmarkEnd w:id="239"/>
    </w:p>
    <w:p w14:paraId="2D64E40D" w14:textId="77777777" w:rsidR="00F55AD1" w:rsidRDefault="00F55AD1" w:rsidP="00F0381D">
      <w:r>
        <w:t xml:space="preserve">It is recommended that the Government of Canada, as part of its responsibilities for the Accessible Canada Act, take a leadership role in funding a national public education campaign around guide dogs and guide dog issues. This campaign should be developed and implemented in partnership with the Canadian guide dog community and should be modelled </w:t>
      </w:r>
      <w:r>
        <w:lastRenderedPageBreak/>
        <w:t>on similar successful campaigns such as Mothers Against Drunk Driving. Finally, an evaluation framework must be developed to gauge the success of these campaigns moving forward.</w:t>
      </w:r>
    </w:p>
    <w:p w14:paraId="128DA4B0" w14:textId="083E1BF0" w:rsidR="00F55AD1" w:rsidRDefault="00C03884" w:rsidP="00803D9D">
      <w:pPr>
        <w:pStyle w:val="Heading2"/>
      </w:pPr>
      <w:bookmarkStart w:id="240" w:name="_Toc228294149"/>
      <w:r>
        <w:t xml:space="preserve"> </w:t>
      </w:r>
      <w:r w:rsidR="00F55AD1" w:rsidRPr="008F43A6">
        <w:t>Development of Educational Curriculum</w:t>
      </w:r>
      <w:bookmarkEnd w:id="240"/>
    </w:p>
    <w:p w14:paraId="17D4ACDA" w14:textId="77777777" w:rsidR="00F34823" w:rsidRDefault="00F34823">
      <w:pPr>
        <w:rPr>
          <w:lang w:eastAsia="en-CA"/>
        </w:rPr>
      </w:pPr>
      <w:bookmarkStart w:id="241" w:name="_Toc228294150"/>
      <w:r>
        <w:t>It is recommended that a core curriculum be developed at all levels of the education system including primary, secondary and relevant post-secondary levels, which focus on the rights of guide dog users to access all public places, as well as their own competencies in navigating their environments with a guide dog.</w:t>
      </w:r>
    </w:p>
    <w:p w14:paraId="4322ADEC" w14:textId="2D495A5A" w:rsidR="00F55AD1" w:rsidRDefault="00C03884" w:rsidP="00803D9D">
      <w:pPr>
        <w:pStyle w:val="Heading2"/>
      </w:pPr>
      <w:r>
        <w:t xml:space="preserve"> </w:t>
      </w:r>
      <w:r w:rsidR="00F55AD1" w:rsidRPr="008F43A6">
        <w:t>Provincial Legislation</w:t>
      </w:r>
      <w:bookmarkEnd w:id="241"/>
    </w:p>
    <w:p w14:paraId="3E99C17D" w14:textId="1E1D5F54" w:rsidR="00F55AD1" w:rsidRPr="00F55AD1" w:rsidRDefault="00F55AD1" w:rsidP="00F0381D">
      <w:r>
        <w:t xml:space="preserve">It is recommended that Canadian provinces implement legislation designed along the same lines as the U.S. “driving Laws” </w:t>
      </w:r>
      <w:r w:rsidR="005020CE">
        <w:t>to</w:t>
      </w:r>
      <w:r>
        <w:t xml:space="preserve"> better protect guide dog and white cane users in Canada. It is further recommended that the drafting of this legislation be undertaken in a collaborative manner by </w:t>
      </w:r>
      <w:r w:rsidR="005020CE">
        <w:t>all</w:t>
      </w:r>
      <w:r>
        <w:t xml:space="preserve"> the provinces to ensure the consistency of its application.</w:t>
      </w:r>
    </w:p>
    <w:p w14:paraId="46975205" w14:textId="77777777" w:rsidR="003D6908" w:rsidRDefault="003D6908" w:rsidP="00F0381D">
      <w:pPr>
        <w:rPr>
          <w:rFonts w:eastAsiaTheme="majorEastAsia" w:cstheme="majorBidi"/>
          <w:sz w:val="40"/>
          <w:szCs w:val="40"/>
        </w:rPr>
      </w:pPr>
      <w:r>
        <w:br w:type="page"/>
      </w:r>
    </w:p>
    <w:p w14:paraId="25F51562" w14:textId="77777777" w:rsidR="00354BAE" w:rsidRDefault="00354BAE" w:rsidP="0055692A">
      <w:pPr>
        <w:pStyle w:val="Heading1"/>
      </w:pPr>
      <w:bookmarkStart w:id="242" w:name="_Toc228394687"/>
      <w:r>
        <w:lastRenderedPageBreak/>
        <w:t>Appendix B: Project Timeline &amp; Activities</w:t>
      </w:r>
      <w:bookmarkEnd w:id="242"/>
    </w:p>
    <w:p w14:paraId="46422233" w14:textId="77777777" w:rsidR="00354BAE" w:rsidRPr="001511CF" w:rsidRDefault="00354BAE" w:rsidP="00F0381D">
      <w:pPr>
        <w:rPr>
          <w:lang w:eastAsia="en-CA"/>
        </w:rPr>
      </w:pPr>
      <w:r>
        <w:t xml:space="preserve">Project activities took place between </w:t>
      </w:r>
      <w:r w:rsidRPr="001511CF">
        <w:t>March 2022 and March 2023.</w:t>
      </w:r>
    </w:p>
    <w:p w14:paraId="253016EF" w14:textId="615447EA" w:rsidR="00655CC5" w:rsidRPr="00023904" w:rsidRDefault="00655CC5" w:rsidP="004A57D2">
      <w:pPr>
        <w:pStyle w:val="Caption"/>
        <w:rPr>
          <w:b w:val="0"/>
          <w:bCs/>
        </w:rPr>
      </w:pPr>
      <w:bookmarkStart w:id="243" w:name="_Toc228387197"/>
      <w:r w:rsidRPr="00023904">
        <w:rPr>
          <w:i w:val="0"/>
          <w:iCs w:val="0"/>
        </w:rPr>
        <w:t xml:space="preserve">Table </w:t>
      </w:r>
      <w:r w:rsidRPr="00023904">
        <w:rPr>
          <w:i w:val="0"/>
          <w:iCs w:val="0"/>
        </w:rPr>
        <w:fldChar w:fldCharType="begin"/>
      </w:r>
      <w:r w:rsidRPr="00023904">
        <w:rPr>
          <w:i w:val="0"/>
          <w:iCs w:val="0"/>
        </w:rPr>
        <w:instrText xml:space="preserve"> SEQ Table \* ARABIC </w:instrText>
      </w:r>
      <w:r w:rsidRPr="00023904">
        <w:rPr>
          <w:i w:val="0"/>
          <w:iCs w:val="0"/>
        </w:rPr>
        <w:fldChar w:fldCharType="separate"/>
      </w:r>
      <w:r w:rsidR="00C06BF6">
        <w:rPr>
          <w:i w:val="0"/>
          <w:iCs w:val="0"/>
          <w:noProof/>
        </w:rPr>
        <w:t>8</w:t>
      </w:r>
      <w:r w:rsidRPr="00023904">
        <w:rPr>
          <w:i w:val="0"/>
          <w:iCs w:val="0"/>
        </w:rPr>
        <w:fldChar w:fldCharType="end"/>
      </w:r>
      <w:r>
        <w:t xml:space="preserve"> </w:t>
      </w:r>
      <w:r>
        <w:br/>
      </w:r>
      <w:r w:rsidR="00380C50" w:rsidRPr="00023904">
        <w:rPr>
          <w:b w:val="0"/>
          <w:bCs/>
        </w:rPr>
        <w:t xml:space="preserve">Guide Dog </w:t>
      </w:r>
      <w:r w:rsidRPr="00023904">
        <w:rPr>
          <w:b w:val="0"/>
          <w:bCs/>
        </w:rPr>
        <w:t>Project Activity Timeline</w:t>
      </w:r>
      <w:bookmarkEnd w:id="243"/>
    </w:p>
    <w:tbl>
      <w:tblPr>
        <w:tblStyle w:val="PlainTable5"/>
        <w:tblW w:w="4756" w:type="pct"/>
        <w:tblLook w:val="04A0" w:firstRow="1" w:lastRow="0" w:firstColumn="1" w:lastColumn="0" w:noHBand="0" w:noVBand="1"/>
      </w:tblPr>
      <w:tblGrid>
        <w:gridCol w:w="2809"/>
        <w:gridCol w:w="6300"/>
      </w:tblGrid>
      <w:tr w:rsidR="00354BAE" w14:paraId="42F8E194" w14:textId="77777777" w:rsidTr="0028651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42" w:type="pct"/>
            <w:shd w:val="clear" w:color="auto" w:fill="000000" w:themeFill="text1"/>
            <w:hideMark/>
          </w:tcPr>
          <w:p w14:paraId="7226D0F2" w14:textId="2955247B" w:rsidR="00354BAE" w:rsidRPr="00286519" w:rsidRDefault="00354BAE" w:rsidP="00463568">
            <w:pPr>
              <w:pStyle w:val="NoSpacing"/>
              <w:spacing w:line="360" w:lineRule="auto"/>
              <w:ind w:firstLine="90"/>
              <w:jc w:val="left"/>
              <w:rPr>
                <w:color w:val="FFFFFF" w:themeColor="background1"/>
                <w:lang w:eastAsia="en-CA"/>
              </w:rPr>
            </w:pPr>
            <w:r w:rsidRPr="00286519">
              <w:rPr>
                <w:b/>
                <w:bCs/>
                <w:color w:val="FFFFFF" w:themeColor="background1"/>
              </w:rPr>
              <w:t>Tim</w:t>
            </w:r>
            <w:r w:rsidR="00286519" w:rsidRPr="00286519">
              <w:rPr>
                <w:b/>
                <w:bCs/>
                <w:color w:val="FFFFFF" w:themeColor="background1"/>
              </w:rPr>
              <w:t>eline</w:t>
            </w:r>
          </w:p>
        </w:tc>
        <w:tc>
          <w:tcPr>
            <w:tcW w:w="3458" w:type="pct"/>
            <w:shd w:val="clear" w:color="auto" w:fill="000000" w:themeFill="text1"/>
            <w:hideMark/>
          </w:tcPr>
          <w:p w14:paraId="562ACC9F" w14:textId="64EAB117" w:rsidR="00354BAE" w:rsidRPr="00286519" w:rsidRDefault="00286519" w:rsidP="00463568">
            <w:pPr>
              <w:pStyle w:val="NoSpacing"/>
              <w:spacing w:line="360" w:lineRule="auto"/>
              <w:ind w:firstLine="60"/>
              <w:cnfStyle w:val="100000000000" w:firstRow="1" w:lastRow="0" w:firstColumn="0" w:lastColumn="0" w:oddVBand="0" w:evenVBand="0" w:oddHBand="0" w:evenHBand="0" w:firstRowFirstColumn="0" w:firstRowLastColumn="0" w:lastRowFirstColumn="0" w:lastRowLastColumn="0"/>
              <w:rPr>
                <w:color w:val="FFFFFF" w:themeColor="background1"/>
              </w:rPr>
            </w:pPr>
            <w:r w:rsidRPr="00286519">
              <w:rPr>
                <w:b/>
                <w:bCs/>
                <w:color w:val="FFFFFF" w:themeColor="background1"/>
              </w:rPr>
              <w:t xml:space="preserve">Project </w:t>
            </w:r>
            <w:r w:rsidR="00354BAE" w:rsidRPr="00286519">
              <w:rPr>
                <w:b/>
                <w:bCs/>
                <w:color w:val="FFFFFF" w:themeColor="background1"/>
              </w:rPr>
              <w:t>Research activit</w:t>
            </w:r>
            <w:r w:rsidRPr="00286519">
              <w:rPr>
                <w:b/>
                <w:bCs/>
                <w:color w:val="FFFFFF" w:themeColor="background1"/>
              </w:rPr>
              <w:t>ies &amp; descriptions</w:t>
            </w:r>
            <w:r w:rsidR="00354BAE" w:rsidRPr="00286519">
              <w:rPr>
                <w:b/>
                <w:bCs/>
                <w:color w:val="FFFFFF" w:themeColor="background1"/>
              </w:rPr>
              <w:t xml:space="preserve"> </w:t>
            </w:r>
          </w:p>
        </w:tc>
      </w:tr>
      <w:tr w:rsidR="00354BAE" w14:paraId="03DBBC7F"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60F2C13B" w14:textId="1816711C" w:rsidR="00354BAE" w:rsidRDefault="00354BAE" w:rsidP="00463568">
            <w:pPr>
              <w:pStyle w:val="NoSpacing"/>
              <w:spacing w:line="360" w:lineRule="auto"/>
              <w:ind w:firstLine="90"/>
              <w:jc w:val="left"/>
            </w:pPr>
            <w:r>
              <w:rPr>
                <w:b/>
                <w:bCs/>
              </w:rPr>
              <w:t>March</w:t>
            </w:r>
            <w:r w:rsidR="00023904">
              <w:rPr>
                <w:b/>
                <w:bCs/>
              </w:rPr>
              <w:t xml:space="preserve"> to </w:t>
            </w:r>
            <w:r>
              <w:rPr>
                <w:b/>
                <w:bCs/>
              </w:rPr>
              <w:t>April 2022</w:t>
            </w:r>
          </w:p>
        </w:tc>
        <w:tc>
          <w:tcPr>
            <w:tcW w:w="3458" w:type="pct"/>
            <w:hideMark/>
          </w:tcPr>
          <w:p w14:paraId="5BEBE5CC" w14:textId="563DF142"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r>
              <w:t>Jurisdictional scan of guide dog access-related legislation, regulations, and policies across Canada (10 provinces and 3 territories) and select international jurisdictions (including the United States under the ADA and guide dog legislation in 30 U.S. states, plus additional countries).</w:t>
            </w:r>
          </w:p>
        </w:tc>
      </w:tr>
      <w:tr w:rsidR="00354BAE" w14:paraId="28DE09B6"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1FDB1181" w14:textId="77777777" w:rsidR="00354BAE" w:rsidRDefault="00354BAE" w:rsidP="00463568">
            <w:pPr>
              <w:pStyle w:val="NoSpacing"/>
              <w:spacing w:line="360" w:lineRule="auto"/>
              <w:ind w:firstLine="90"/>
              <w:jc w:val="left"/>
            </w:pPr>
            <w:r>
              <w:rPr>
                <w:b/>
                <w:bCs/>
              </w:rPr>
              <w:t>June 2022</w:t>
            </w:r>
          </w:p>
        </w:tc>
        <w:tc>
          <w:tcPr>
            <w:tcW w:w="3458" w:type="pct"/>
            <w:hideMark/>
          </w:tcPr>
          <w:p w14:paraId="323B52A3" w14:textId="77777777"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r>
              <w:t>Guide Dog Access Project Advisory Committee meeting.</w:t>
            </w:r>
          </w:p>
        </w:tc>
      </w:tr>
      <w:tr w:rsidR="00354BAE" w14:paraId="1329CD01"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6927646E" w14:textId="77777777" w:rsidR="00354BAE" w:rsidRDefault="00354BAE" w:rsidP="00463568">
            <w:pPr>
              <w:pStyle w:val="NoSpacing"/>
              <w:spacing w:line="360" w:lineRule="auto"/>
              <w:ind w:firstLine="90"/>
              <w:jc w:val="left"/>
            </w:pPr>
            <w:r>
              <w:rPr>
                <w:b/>
                <w:bCs/>
              </w:rPr>
              <w:t>June 2022</w:t>
            </w:r>
          </w:p>
        </w:tc>
        <w:tc>
          <w:tcPr>
            <w:tcW w:w="3458" w:type="pct"/>
            <w:hideMark/>
          </w:tcPr>
          <w:p w14:paraId="25EBEED5" w14:textId="77777777" w:rsidR="00BB3445" w:rsidRDefault="00BB3445">
            <w:pPr>
              <w:pStyle w:val="NoSpacing"/>
              <w:spacing w:line="360" w:lineRule="auto"/>
              <w:cnfStyle w:val="000000100000" w:firstRow="0" w:lastRow="0" w:firstColumn="0" w:lastColumn="0" w:oddVBand="0" w:evenVBand="0" w:oddHBand="1" w:evenHBand="0" w:firstRowFirstColumn="0" w:firstRowLastColumn="0" w:lastRowFirstColumn="0" w:lastRowLastColumn="0"/>
              <w:rPr>
                <w:lang w:eastAsia="en-CA"/>
              </w:rPr>
            </w:pPr>
            <w:r>
              <w:rPr>
                <w:color w:val="000000"/>
              </w:rPr>
              <w:t>Co-design session(s) with guide dog handlers.</w:t>
            </w:r>
          </w:p>
          <w:p w14:paraId="2744BD95" w14:textId="3C1FAAE5"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p>
        </w:tc>
      </w:tr>
      <w:tr w:rsidR="00354BAE" w14:paraId="7DB28379"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45AA6AF7" w14:textId="2B20CD67" w:rsidR="00354BAE" w:rsidRDefault="00354BAE" w:rsidP="00463568">
            <w:pPr>
              <w:pStyle w:val="NoSpacing"/>
              <w:spacing w:line="360" w:lineRule="auto"/>
              <w:ind w:firstLine="90"/>
              <w:jc w:val="left"/>
            </w:pPr>
            <w:r>
              <w:rPr>
                <w:b/>
                <w:bCs/>
              </w:rPr>
              <w:t>August 1</w:t>
            </w:r>
            <w:r w:rsidR="00023904">
              <w:rPr>
                <w:b/>
                <w:bCs/>
              </w:rPr>
              <w:t xml:space="preserve">6 to </w:t>
            </w:r>
            <w:r>
              <w:rPr>
                <w:b/>
                <w:bCs/>
              </w:rPr>
              <w:t>22, 2022</w:t>
            </w:r>
          </w:p>
        </w:tc>
        <w:tc>
          <w:tcPr>
            <w:tcW w:w="3458" w:type="pct"/>
            <w:hideMark/>
          </w:tcPr>
          <w:p w14:paraId="35D66A23" w14:textId="77777777"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r>
              <w:t>Ipsos Reid public attitudes survey (n=1,001 Canadians).</w:t>
            </w:r>
          </w:p>
        </w:tc>
      </w:tr>
      <w:tr w:rsidR="00354BAE" w14:paraId="66A871A9"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446AB317" w14:textId="77777777" w:rsidR="00354BAE" w:rsidRDefault="00354BAE" w:rsidP="00463568">
            <w:pPr>
              <w:pStyle w:val="NoSpacing"/>
              <w:spacing w:line="360" w:lineRule="auto"/>
              <w:ind w:firstLine="90"/>
              <w:jc w:val="left"/>
            </w:pPr>
            <w:r>
              <w:rPr>
                <w:b/>
                <w:bCs/>
              </w:rPr>
              <w:t>September 2022</w:t>
            </w:r>
          </w:p>
        </w:tc>
        <w:tc>
          <w:tcPr>
            <w:tcW w:w="3458" w:type="pct"/>
            <w:hideMark/>
          </w:tcPr>
          <w:p w14:paraId="0B6A6200" w14:textId="77777777" w:rsidR="00BB3445" w:rsidRDefault="00BB3445">
            <w:pPr>
              <w:pStyle w:val="NoSpacing"/>
              <w:spacing w:line="360" w:lineRule="auto"/>
              <w:cnfStyle w:val="000000100000" w:firstRow="0" w:lastRow="0" w:firstColumn="0" w:lastColumn="0" w:oddVBand="0" w:evenVBand="0" w:oddHBand="1" w:evenHBand="0" w:firstRowFirstColumn="0" w:firstRowLastColumn="0" w:lastRowFirstColumn="0" w:lastRowLastColumn="0"/>
              <w:rPr>
                <w:lang w:eastAsia="en-CA"/>
              </w:rPr>
            </w:pPr>
            <w:r>
              <w:rPr>
                <w:color w:val="000000"/>
              </w:rPr>
              <w:t>Co-design session(s) with guide dog handlers.</w:t>
            </w:r>
          </w:p>
          <w:p w14:paraId="4C655631" w14:textId="74F8E4B1"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p>
        </w:tc>
      </w:tr>
      <w:tr w:rsidR="00354BAE" w14:paraId="7BE7FF46"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671D54C2" w14:textId="77777777" w:rsidR="00354BAE" w:rsidRDefault="00354BAE" w:rsidP="00463568">
            <w:pPr>
              <w:pStyle w:val="NoSpacing"/>
              <w:spacing w:line="360" w:lineRule="auto"/>
              <w:ind w:firstLine="90"/>
              <w:jc w:val="left"/>
            </w:pPr>
            <w:r>
              <w:rPr>
                <w:b/>
                <w:bCs/>
              </w:rPr>
              <w:lastRenderedPageBreak/>
              <w:t>September 15, 2022</w:t>
            </w:r>
          </w:p>
        </w:tc>
        <w:tc>
          <w:tcPr>
            <w:tcW w:w="3458" w:type="pct"/>
            <w:hideMark/>
          </w:tcPr>
          <w:p w14:paraId="4088E55F" w14:textId="77777777" w:rsidR="00BB3445" w:rsidRDefault="00BB3445">
            <w:pPr>
              <w:pStyle w:val="NoSpacing"/>
              <w:spacing w:line="360" w:lineRule="auto"/>
              <w:cnfStyle w:val="000000000000" w:firstRow="0" w:lastRow="0" w:firstColumn="0" w:lastColumn="0" w:oddVBand="0" w:evenVBand="0" w:oddHBand="0" w:evenHBand="0" w:firstRowFirstColumn="0" w:firstRowLastColumn="0" w:lastRowFirstColumn="0" w:lastRowLastColumn="0"/>
              <w:rPr>
                <w:lang w:eastAsia="en-CA"/>
              </w:rPr>
            </w:pPr>
            <w:r>
              <w:t>Co-design session (held with Guide Dog Access Project Advisory Committee).</w:t>
            </w:r>
          </w:p>
          <w:p w14:paraId="6B4973AF" w14:textId="208F9D0E"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p>
        </w:tc>
      </w:tr>
      <w:tr w:rsidR="00354BAE" w14:paraId="26A8BD32"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0E3926A1" w14:textId="3747DA48" w:rsidR="00354BAE" w:rsidRDefault="00354BAE" w:rsidP="00463568">
            <w:pPr>
              <w:pStyle w:val="NoSpacing"/>
              <w:spacing w:line="360" w:lineRule="auto"/>
              <w:ind w:firstLine="90"/>
              <w:jc w:val="left"/>
            </w:pPr>
            <w:r>
              <w:rPr>
                <w:b/>
                <w:bCs/>
              </w:rPr>
              <w:t>September</w:t>
            </w:r>
            <w:r w:rsidR="00023904">
              <w:rPr>
                <w:b/>
                <w:bCs/>
              </w:rPr>
              <w:t xml:space="preserve"> to </w:t>
            </w:r>
            <w:r>
              <w:rPr>
                <w:b/>
                <w:bCs/>
              </w:rPr>
              <w:t>December 2022</w:t>
            </w:r>
          </w:p>
        </w:tc>
        <w:tc>
          <w:tcPr>
            <w:tcW w:w="3458" w:type="pct"/>
            <w:hideMark/>
          </w:tcPr>
          <w:p w14:paraId="418BAE41" w14:textId="77777777"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r>
              <w:t>Guide Dog Handlers Experiences Survey field period (546 complete responses; survey available in English, French, and Spanish).</w:t>
            </w:r>
          </w:p>
        </w:tc>
      </w:tr>
      <w:tr w:rsidR="00354BAE" w14:paraId="72E7E2DD"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326EE8E1" w14:textId="77777777" w:rsidR="00354BAE" w:rsidRDefault="00354BAE" w:rsidP="00463568">
            <w:pPr>
              <w:pStyle w:val="NoSpacing"/>
              <w:spacing w:line="360" w:lineRule="auto"/>
              <w:ind w:firstLine="90"/>
              <w:jc w:val="left"/>
            </w:pPr>
            <w:r>
              <w:rPr>
                <w:b/>
                <w:bCs/>
              </w:rPr>
              <w:t>October 2022</w:t>
            </w:r>
          </w:p>
        </w:tc>
        <w:tc>
          <w:tcPr>
            <w:tcW w:w="3458" w:type="pct"/>
            <w:hideMark/>
          </w:tcPr>
          <w:p w14:paraId="63E8BEAD" w14:textId="77777777"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r>
              <w:t>Guide Dog Access Project Advisory Committee meeting.</w:t>
            </w:r>
          </w:p>
        </w:tc>
      </w:tr>
      <w:tr w:rsidR="00354BAE" w14:paraId="71F036CC"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44F72754" w14:textId="1AB488B1" w:rsidR="00354BAE" w:rsidRDefault="00354BAE" w:rsidP="00463568">
            <w:pPr>
              <w:pStyle w:val="NoSpacing"/>
              <w:spacing w:line="360" w:lineRule="auto"/>
              <w:ind w:firstLine="90"/>
              <w:jc w:val="left"/>
            </w:pPr>
            <w:r>
              <w:rPr>
                <w:b/>
                <w:bCs/>
              </w:rPr>
              <w:t>November 9</w:t>
            </w:r>
            <w:r w:rsidR="00023904">
              <w:rPr>
                <w:b/>
                <w:bCs/>
              </w:rPr>
              <w:t xml:space="preserve"> to </w:t>
            </w:r>
            <w:r>
              <w:rPr>
                <w:b/>
                <w:bCs/>
              </w:rPr>
              <w:t>December 16, 2022</w:t>
            </w:r>
          </w:p>
        </w:tc>
        <w:tc>
          <w:tcPr>
            <w:tcW w:w="3458" w:type="pct"/>
            <w:hideMark/>
          </w:tcPr>
          <w:p w14:paraId="58ACA2D9" w14:textId="77777777"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r>
              <w:t>Seven Zoom focus groups (31 participants); sessions recorded and supported by Zoom transcripts.</w:t>
            </w:r>
          </w:p>
        </w:tc>
      </w:tr>
      <w:tr w:rsidR="00354BAE" w14:paraId="2F77C1C3"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27731364" w14:textId="77777777" w:rsidR="00354BAE" w:rsidRDefault="00354BAE" w:rsidP="00463568">
            <w:pPr>
              <w:pStyle w:val="NoSpacing"/>
              <w:spacing w:line="360" w:lineRule="auto"/>
              <w:ind w:firstLine="90"/>
              <w:jc w:val="left"/>
            </w:pPr>
            <w:r>
              <w:rPr>
                <w:b/>
                <w:bCs/>
              </w:rPr>
              <w:t>November 22, 2022</w:t>
            </w:r>
          </w:p>
        </w:tc>
        <w:tc>
          <w:tcPr>
            <w:tcW w:w="3458" w:type="pct"/>
            <w:hideMark/>
          </w:tcPr>
          <w:p w14:paraId="04BBB0BC" w14:textId="77777777"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r>
              <w:t>Key informant interview with Canadian Transportation Agency representatives (notes taken; no recording).</w:t>
            </w:r>
          </w:p>
        </w:tc>
      </w:tr>
      <w:tr w:rsidR="00354BAE" w14:paraId="7D4A648C"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205128CA" w14:textId="77777777" w:rsidR="00354BAE" w:rsidRDefault="00354BAE" w:rsidP="00463568">
            <w:pPr>
              <w:pStyle w:val="NoSpacing"/>
              <w:spacing w:line="360" w:lineRule="auto"/>
              <w:ind w:firstLine="90"/>
              <w:jc w:val="left"/>
            </w:pPr>
            <w:r>
              <w:rPr>
                <w:b/>
                <w:bCs/>
              </w:rPr>
              <w:t>December 19, 2022</w:t>
            </w:r>
          </w:p>
        </w:tc>
        <w:tc>
          <w:tcPr>
            <w:tcW w:w="3458" w:type="pct"/>
            <w:hideMark/>
          </w:tcPr>
          <w:p w14:paraId="649683C7" w14:textId="77777777"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r>
              <w:t>Follow-up “deep dive” meeting with four prior focus group participants.</w:t>
            </w:r>
          </w:p>
        </w:tc>
      </w:tr>
      <w:tr w:rsidR="00354BAE" w14:paraId="790CD5B2" w14:textId="77777777" w:rsidTr="00380C50">
        <w:tc>
          <w:tcPr>
            <w:cnfStyle w:val="001000000000" w:firstRow="0" w:lastRow="0" w:firstColumn="1" w:lastColumn="0" w:oddVBand="0" w:evenVBand="0" w:oddHBand="0" w:evenHBand="0" w:firstRowFirstColumn="0" w:firstRowLastColumn="0" w:lastRowFirstColumn="0" w:lastRowLastColumn="0"/>
            <w:tcW w:w="1542" w:type="pct"/>
            <w:hideMark/>
          </w:tcPr>
          <w:p w14:paraId="2A004759" w14:textId="77777777" w:rsidR="00354BAE" w:rsidRDefault="00354BAE" w:rsidP="00463568">
            <w:pPr>
              <w:pStyle w:val="NoSpacing"/>
              <w:spacing w:line="360" w:lineRule="auto"/>
              <w:ind w:firstLine="90"/>
              <w:jc w:val="left"/>
            </w:pPr>
            <w:r>
              <w:rPr>
                <w:b/>
                <w:bCs/>
              </w:rPr>
              <w:t>January 2023</w:t>
            </w:r>
          </w:p>
        </w:tc>
        <w:tc>
          <w:tcPr>
            <w:tcW w:w="3458" w:type="pct"/>
            <w:hideMark/>
          </w:tcPr>
          <w:p w14:paraId="67BDD7CE" w14:textId="77777777" w:rsidR="00354BAE" w:rsidRDefault="00354BAE" w:rsidP="00463568">
            <w:pPr>
              <w:pStyle w:val="NoSpacing"/>
              <w:spacing w:line="360" w:lineRule="auto"/>
              <w:ind w:firstLine="60"/>
              <w:cnfStyle w:val="000000000000" w:firstRow="0" w:lastRow="0" w:firstColumn="0" w:lastColumn="0" w:oddVBand="0" w:evenVBand="0" w:oddHBand="0" w:evenHBand="0" w:firstRowFirstColumn="0" w:firstRowLastColumn="0" w:lastRowFirstColumn="0" w:lastRowLastColumn="0"/>
            </w:pPr>
            <w:r>
              <w:t>Guide Dog Access Project Advisory Committee meeting.</w:t>
            </w:r>
          </w:p>
        </w:tc>
      </w:tr>
      <w:tr w:rsidR="00354BAE" w14:paraId="2572DB67" w14:textId="77777777" w:rsidTr="00380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hideMark/>
          </w:tcPr>
          <w:p w14:paraId="7C6F0206" w14:textId="77777777" w:rsidR="00354BAE" w:rsidRDefault="00354BAE" w:rsidP="00463568">
            <w:pPr>
              <w:pStyle w:val="NoSpacing"/>
              <w:spacing w:line="360" w:lineRule="auto"/>
              <w:ind w:firstLine="90"/>
              <w:jc w:val="left"/>
            </w:pPr>
            <w:r>
              <w:rPr>
                <w:b/>
                <w:bCs/>
              </w:rPr>
              <w:t>March 2023</w:t>
            </w:r>
          </w:p>
        </w:tc>
        <w:tc>
          <w:tcPr>
            <w:tcW w:w="3458" w:type="pct"/>
            <w:hideMark/>
          </w:tcPr>
          <w:p w14:paraId="5A7BBE04" w14:textId="77777777" w:rsidR="00BB3445" w:rsidRDefault="00BB3445">
            <w:pPr>
              <w:pStyle w:val="NoSpacing"/>
              <w:spacing w:line="360" w:lineRule="auto"/>
              <w:cnfStyle w:val="000000100000" w:firstRow="0" w:lastRow="0" w:firstColumn="0" w:lastColumn="0" w:oddVBand="0" w:evenVBand="0" w:oddHBand="1" w:evenHBand="0" w:firstRowFirstColumn="0" w:firstRowLastColumn="0" w:lastRowFirstColumn="0" w:lastRowLastColumn="0"/>
              <w:rPr>
                <w:lang w:eastAsia="en-CA"/>
              </w:rPr>
            </w:pPr>
            <w:r>
              <w:rPr>
                <w:color w:val="000000"/>
              </w:rPr>
              <w:t>Guide Dog Access Project Advisory Committee meeting; additional co-design session(s) with guide dog handlers.</w:t>
            </w:r>
          </w:p>
          <w:p w14:paraId="49ADA3D4" w14:textId="358C17D9" w:rsidR="00354BAE" w:rsidRDefault="00354BAE" w:rsidP="00463568">
            <w:pPr>
              <w:pStyle w:val="NoSpacing"/>
              <w:spacing w:line="360" w:lineRule="auto"/>
              <w:ind w:firstLine="60"/>
              <w:cnfStyle w:val="000000100000" w:firstRow="0" w:lastRow="0" w:firstColumn="0" w:lastColumn="0" w:oddVBand="0" w:evenVBand="0" w:oddHBand="1" w:evenHBand="0" w:firstRowFirstColumn="0" w:firstRowLastColumn="0" w:lastRowFirstColumn="0" w:lastRowLastColumn="0"/>
            </w:pPr>
          </w:p>
        </w:tc>
      </w:tr>
    </w:tbl>
    <w:p w14:paraId="4257BAA9" w14:textId="77777777" w:rsidR="00354BAE" w:rsidRPr="00754FBC" w:rsidRDefault="00354BAE" w:rsidP="00F0381D"/>
    <w:sectPr w:rsidR="00354BAE" w:rsidRPr="00754FBC">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C4C1E" w14:textId="77777777" w:rsidR="0022711D" w:rsidRDefault="0022711D" w:rsidP="00F0381D">
      <w:r>
        <w:separator/>
      </w:r>
    </w:p>
  </w:endnote>
  <w:endnote w:type="continuationSeparator" w:id="0">
    <w:p w14:paraId="6324B07A" w14:textId="77777777" w:rsidR="0022711D" w:rsidRDefault="0022711D" w:rsidP="00F0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tag Sans Book">
    <w:altName w:val="Calibri"/>
    <w:charset w:val="00"/>
    <w:family w:val="swiss"/>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F43B" w14:textId="77777777" w:rsidR="00011F68" w:rsidRDefault="00011F68" w:rsidP="00F0381D">
    <w:pPr>
      <w:pStyle w:val="Footer"/>
    </w:pPr>
  </w:p>
  <w:p w14:paraId="69625FEA" w14:textId="38082CA1" w:rsidR="00C56F41" w:rsidRPr="002C345D" w:rsidRDefault="002C345D" w:rsidP="00F0381D">
    <w:pPr>
      <w:pStyle w:val="Footer"/>
    </w:pPr>
    <w:r>
      <w:rPr>
        <w:noProof/>
      </w:rPr>
      <w:drawing>
        <wp:inline distT="0" distB="0" distL="0" distR="0" wp14:anchorId="5F3C3328" wp14:editId="783FCF1C">
          <wp:extent cx="5400675" cy="548722"/>
          <wp:effectExtent l="0" t="0" r="0" b="3810"/>
          <wp:docPr id="701887513" name="Picture 1" descr="Funded by the Government of Canada. Red Canadian flag hovers over the last &quo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87513" name="Picture 1" descr="Funded by the Government of Canada. Red Canadian flag hovers over the last &quot;a&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6414" cy="5493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705F1" w14:textId="77777777" w:rsidR="0022711D" w:rsidRDefault="0022711D" w:rsidP="00F0381D">
      <w:r>
        <w:separator/>
      </w:r>
    </w:p>
  </w:footnote>
  <w:footnote w:type="continuationSeparator" w:id="0">
    <w:p w14:paraId="711F71DC" w14:textId="77777777" w:rsidR="0022711D" w:rsidRDefault="0022711D" w:rsidP="00F03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5433" w14:textId="61C82C5B" w:rsidR="00C56F41" w:rsidRDefault="00C56F41" w:rsidP="00F0381D">
    <w:pPr>
      <w:pStyle w:val="Header"/>
    </w:pPr>
    <w:r>
      <w:rPr>
        <w:b/>
        <w:noProof/>
      </w:rPr>
      <w:drawing>
        <wp:inline distT="0" distB="0" distL="0" distR="0" wp14:anchorId="449745D5" wp14:editId="1DC13440">
          <wp:extent cx="1284514" cy="673685"/>
          <wp:effectExtent l="0" t="0" r="0" b="0"/>
          <wp:docPr id="9" name="Picture 9" descr="CNIB Foundation brushstr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NIB Foundation brushstroke logo"/>
                  <pic:cNvPicPr/>
                </pic:nvPicPr>
                <pic:blipFill>
                  <a:blip r:embed="rId1">
                    <a:extLst>
                      <a:ext uri="{28A0092B-C50C-407E-A947-70E740481C1C}">
                        <a14:useLocalDpi xmlns:a14="http://schemas.microsoft.com/office/drawing/2010/main" val="0"/>
                      </a:ext>
                    </a:extLst>
                  </a:blip>
                  <a:stretch>
                    <a:fillRect/>
                  </a:stretch>
                </pic:blipFill>
                <pic:spPr>
                  <a:xfrm>
                    <a:off x="0" y="0"/>
                    <a:ext cx="1343457" cy="704599"/>
                  </a:xfrm>
                  <a:prstGeom prst="rect">
                    <a:avLst/>
                  </a:prstGeom>
                </pic:spPr>
              </pic:pic>
            </a:graphicData>
          </a:graphic>
        </wp:inline>
      </w:drawing>
    </w:r>
    <w:r w:rsidR="001B0CA4">
      <w:rPr>
        <w:noProof/>
      </w:rPr>
      <w:tab/>
    </w:r>
    <w:r w:rsidR="001B0CA4" w:rsidRPr="00CE0CAB">
      <w:rPr>
        <w:noProof/>
      </w:rPr>
      <w:drawing>
        <wp:inline distT="0" distB="0" distL="0" distR="0" wp14:anchorId="575A7B12" wp14:editId="6461AD3F">
          <wp:extent cx="3902651" cy="678485"/>
          <wp:effectExtent l="0" t="0" r="3175" b="0"/>
          <wp:docPr id="1997299709" name="Picture 2" descr="Accessibility Standards Canada logo with Canadian flag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99709" name="Picture 2" descr="Accessibility Standards Canada logo with Canadian flag on left."/>
                  <pic:cNvPicPr/>
                </pic:nvPicPr>
                <pic:blipFill>
                  <a:blip r:embed="rId2">
                    <a:extLst>
                      <a:ext uri="{28A0092B-C50C-407E-A947-70E740481C1C}">
                        <a14:useLocalDpi xmlns:a14="http://schemas.microsoft.com/office/drawing/2010/main" val="0"/>
                      </a:ext>
                    </a:extLst>
                  </a:blip>
                  <a:stretch>
                    <a:fillRect/>
                  </a:stretch>
                </pic:blipFill>
                <pic:spPr>
                  <a:xfrm>
                    <a:off x="0" y="0"/>
                    <a:ext cx="3915254" cy="680676"/>
                  </a:xfrm>
                  <a:prstGeom prst="rect">
                    <a:avLst/>
                  </a:prstGeom>
                </pic:spPr>
              </pic:pic>
            </a:graphicData>
          </a:graphic>
        </wp:inline>
      </w:drawing>
    </w:r>
    <w:r w:rsidR="001B0CA4">
      <w:rPr>
        <w:noProof/>
      </w:rPr>
      <w:tab/>
    </w:r>
  </w:p>
  <w:p w14:paraId="72789FDC" w14:textId="77777777" w:rsidR="005B25DD" w:rsidRDefault="005B25DD" w:rsidP="00F0381D">
    <w:pPr>
      <w:pStyle w:val="Header"/>
    </w:pPr>
  </w:p>
  <w:p w14:paraId="497C530F" w14:textId="77777777" w:rsidR="001B0CA4" w:rsidRDefault="001B0CA4" w:rsidP="00F03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188"/>
    <w:multiLevelType w:val="multilevel"/>
    <w:tmpl w:val="FCE0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D774C"/>
    <w:multiLevelType w:val="hybridMultilevel"/>
    <w:tmpl w:val="CFAEE1C6"/>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 w15:restartNumberingAfterBreak="0">
    <w:nsid w:val="16BA0944"/>
    <w:multiLevelType w:val="multilevel"/>
    <w:tmpl w:val="567E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3D3A50"/>
    <w:multiLevelType w:val="multilevel"/>
    <w:tmpl w:val="85F0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75DE4"/>
    <w:multiLevelType w:val="multilevel"/>
    <w:tmpl w:val="9828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7471B"/>
    <w:multiLevelType w:val="multilevel"/>
    <w:tmpl w:val="33967958"/>
    <w:lvl w:ilvl="0">
      <w:start w:val="1"/>
      <w:numFmt w:val="decimal"/>
      <w:lvlText w:val="%1"/>
      <w:lvlJc w:val="left"/>
      <w:pPr>
        <w:ind w:left="432" w:hanging="432"/>
      </w:pPr>
    </w:lvl>
    <w:lvl w:ilvl="1">
      <w:start w:val="1"/>
      <w:numFmt w:val="decimal"/>
      <w:lvlText w:val="%2."/>
      <w:lvlJc w:val="left"/>
      <w:pPr>
        <w:ind w:left="360" w:hanging="360"/>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2141259"/>
    <w:multiLevelType w:val="multilevel"/>
    <w:tmpl w:val="04D2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4843C8"/>
    <w:multiLevelType w:val="hybridMultilevel"/>
    <w:tmpl w:val="1228CB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64655803">
    <w:abstractNumId w:val="7"/>
  </w:num>
  <w:num w:numId="2" w16cid:durableId="1482576268">
    <w:abstractNumId w:val="5"/>
  </w:num>
  <w:num w:numId="3" w16cid:durableId="1264728558">
    <w:abstractNumId w:val="1"/>
  </w:num>
  <w:num w:numId="4" w16cid:durableId="2071028883">
    <w:abstractNumId w:val="6"/>
  </w:num>
  <w:num w:numId="5" w16cid:durableId="908464716">
    <w:abstractNumId w:val="2"/>
  </w:num>
  <w:num w:numId="6" w16cid:durableId="1016007863">
    <w:abstractNumId w:val="4"/>
  </w:num>
  <w:num w:numId="7" w16cid:durableId="651565597">
    <w:abstractNumId w:val="0"/>
  </w:num>
  <w:num w:numId="8" w16cid:durableId="68721936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36"/>
    <w:rsid w:val="00000809"/>
    <w:rsid w:val="00001769"/>
    <w:rsid w:val="000049D2"/>
    <w:rsid w:val="000117FF"/>
    <w:rsid w:val="00011C90"/>
    <w:rsid w:val="00011F68"/>
    <w:rsid w:val="00012CC9"/>
    <w:rsid w:val="00015D50"/>
    <w:rsid w:val="00023904"/>
    <w:rsid w:val="00026C9A"/>
    <w:rsid w:val="00030CBC"/>
    <w:rsid w:val="0003214F"/>
    <w:rsid w:val="000407CA"/>
    <w:rsid w:val="00041470"/>
    <w:rsid w:val="00043F00"/>
    <w:rsid w:val="000444B3"/>
    <w:rsid w:val="00045FAA"/>
    <w:rsid w:val="00046447"/>
    <w:rsid w:val="000516D0"/>
    <w:rsid w:val="00052E36"/>
    <w:rsid w:val="000541A3"/>
    <w:rsid w:val="00055BBA"/>
    <w:rsid w:val="00056F61"/>
    <w:rsid w:val="00061118"/>
    <w:rsid w:val="00062387"/>
    <w:rsid w:val="000648E7"/>
    <w:rsid w:val="00065B47"/>
    <w:rsid w:val="000673B5"/>
    <w:rsid w:val="00067923"/>
    <w:rsid w:val="000679B4"/>
    <w:rsid w:val="000679B8"/>
    <w:rsid w:val="000705FE"/>
    <w:rsid w:val="00073077"/>
    <w:rsid w:val="00076E20"/>
    <w:rsid w:val="00080361"/>
    <w:rsid w:val="00080E33"/>
    <w:rsid w:val="00081F07"/>
    <w:rsid w:val="00083E80"/>
    <w:rsid w:val="00085764"/>
    <w:rsid w:val="00086B54"/>
    <w:rsid w:val="00086C96"/>
    <w:rsid w:val="00086E53"/>
    <w:rsid w:val="00087890"/>
    <w:rsid w:val="0009558A"/>
    <w:rsid w:val="00095F03"/>
    <w:rsid w:val="00096C45"/>
    <w:rsid w:val="000A0019"/>
    <w:rsid w:val="000A336D"/>
    <w:rsid w:val="000A3B2A"/>
    <w:rsid w:val="000B12E7"/>
    <w:rsid w:val="000B2653"/>
    <w:rsid w:val="000B375E"/>
    <w:rsid w:val="000B4D6A"/>
    <w:rsid w:val="000C0333"/>
    <w:rsid w:val="000C06A8"/>
    <w:rsid w:val="000C3BED"/>
    <w:rsid w:val="000C5A38"/>
    <w:rsid w:val="000C5A57"/>
    <w:rsid w:val="000D02EA"/>
    <w:rsid w:val="000D1241"/>
    <w:rsid w:val="000D145C"/>
    <w:rsid w:val="000D319A"/>
    <w:rsid w:val="000E05CD"/>
    <w:rsid w:val="000E0E4F"/>
    <w:rsid w:val="000E1674"/>
    <w:rsid w:val="000E33A1"/>
    <w:rsid w:val="000E5DCE"/>
    <w:rsid w:val="000E5DF2"/>
    <w:rsid w:val="000E60B6"/>
    <w:rsid w:val="000E652E"/>
    <w:rsid w:val="000F322D"/>
    <w:rsid w:val="000F7D1A"/>
    <w:rsid w:val="001031C2"/>
    <w:rsid w:val="001033A8"/>
    <w:rsid w:val="00103FD4"/>
    <w:rsid w:val="001054A2"/>
    <w:rsid w:val="00106051"/>
    <w:rsid w:val="001113DB"/>
    <w:rsid w:val="001139A0"/>
    <w:rsid w:val="0012113A"/>
    <w:rsid w:val="001229CC"/>
    <w:rsid w:val="00122AA1"/>
    <w:rsid w:val="0012745B"/>
    <w:rsid w:val="00135EBB"/>
    <w:rsid w:val="0013724D"/>
    <w:rsid w:val="00140143"/>
    <w:rsid w:val="00140F7C"/>
    <w:rsid w:val="00141658"/>
    <w:rsid w:val="0014182C"/>
    <w:rsid w:val="00143B52"/>
    <w:rsid w:val="001441BC"/>
    <w:rsid w:val="00145B1B"/>
    <w:rsid w:val="001511CF"/>
    <w:rsid w:val="00152F26"/>
    <w:rsid w:val="001542BD"/>
    <w:rsid w:val="001561E1"/>
    <w:rsid w:val="00156F9C"/>
    <w:rsid w:val="00160B44"/>
    <w:rsid w:val="0016118B"/>
    <w:rsid w:val="0016196F"/>
    <w:rsid w:val="001621DA"/>
    <w:rsid w:val="00162DC3"/>
    <w:rsid w:val="00164258"/>
    <w:rsid w:val="00174153"/>
    <w:rsid w:val="00174201"/>
    <w:rsid w:val="001745B0"/>
    <w:rsid w:val="00174E2D"/>
    <w:rsid w:val="0018262A"/>
    <w:rsid w:val="0018413D"/>
    <w:rsid w:val="0018515B"/>
    <w:rsid w:val="00185351"/>
    <w:rsid w:val="001856E1"/>
    <w:rsid w:val="001A0B10"/>
    <w:rsid w:val="001A1E06"/>
    <w:rsid w:val="001A3B2E"/>
    <w:rsid w:val="001A4CBC"/>
    <w:rsid w:val="001A6B6D"/>
    <w:rsid w:val="001A7546"/>
    <w:rsid w:val="001A7E3A"/>
    <w:rsid w:val="001B0CA4"/>
    <w:rsid w:val="001B1C2E"/>
    <w:rsid w:val="001B2CFE"/>
    <w:rsid w:val="001B48CD"/>
    <w:rsid w:val="001B760D"/>
    <w:rsid w:val="001C628A"/>
    <w:rsid w:val="001C69A4"/>
    <w:rsid w:val="001D5311"/>
    <w:rsid w:val="001D64F7"/>
    <w:rsid w:val="001D7575"/>
    <w:rsid w:val="001E0E2A"/>
    <w:rsid w:val="001E107F"/>
    <w:rsid w:val="001E57EE"/>
    <w:rsid w:val="001E774C"/>
    <w:rsid w:val="001F0108"/>
    <w:rsid w:val="001F3490"/>
    <w:rsid w:val="001F4D66"/>
    <w:rsid w:val="001F70E7"/>
    <w:rsid w:val="001F785C"/>
    <w:rsid w:val="002013EC"/>
    <w:rsid w:val="0020259B"/>
    <w:rsid w:val="002026FB"/>
    <w:rsid w:val="00203DB5"/>
    <w:rsid w:val="00203F07"/>
    <w:rsid w:val="00207AF7"/>
    <w:rsid w:val="002104A2"/>
    <w:rsid w:val="00210668"/>
    <w:rsid w:val="00210B7C"/>
    <w:rsid w:val="002114F9"/>
    <w:rsid w:val="002119A8"/>
    <w:rsid w:val="002223FE"/>
    <w:rsid w:val="00225A27"/>
    <w:rsid w:val="0022711D"/>
    <w:rsid w:val="00230A47"/>
    <w:rsid w:val="002325E2"/>
    <w:rsid w:val="00233051"/>
    <w:rsid w:val="00241766"/>
    <w:rsid w:val="002470AE"/>
    <w:rsid w:val="002508B1"/>
    <w:rsid w:val="00250E7A"/>
    <w:rsid w:val="002515FF"/>
    <w:rsid w:val="00251ABA"/>
    <w:rsid w:val="002568AF"/>
    <w:rsid w:val="00257054"/>
    <w:rsid w:val="0025719C"/>
    <w:rsid w:val="00260A9B"/>
    <w:rsid w:val="00261580"/>
    <w:rsid w:val="00262CFB"/>
    <w:rsid w:val="00263A3C"/>
    <w:rsid w:val="0026408D"/>
    <w:rsid w:val="00264EEA"/>
    <w:rsid w:val="00267AD3"/>
    <w:rsid w:val="00271794"/>
    <w:rsid w:val="002820E3"/>
    <w:rsid w:val="00286519"/>
    <w:rsid w:val="00286B11"/>
    <w:rsid w:val="00287375"/>
    <w:rsid w:val="0029007F"/>
    <w:rsid w:val="002901B8"/>
    <w:rsid w:val="00291921"/>
    <w:rsid w:val="0029225C"/>
    <w:rsid w:val="00292C28"/>
    <w:rsid w:val="00296DAD"/>
    <w:rsid w:val="00297DF5"/>
    <w:rsid w:val="00297EB4"/>
    <w:rsid w:val="002A0DF8"/>
    <w:rsid w:val="002A18BC"/>
    <w:rsid w:val="002A251C"/>
    <w:rsid w:val="002A407E"/>
    <w:rsid w:val="002A58DB"/>
    <w:rsid w:val="002A60EC"/>
    <w:rsid w:val="002A7D9C"/>
    <w:rsid w:val="002B084C"/>
    <w:rsid w:val="002B186D"/>
    <w:rsid w:val="002B1B83"/>
    <w:rsid w:val="002B2812"/>
    <w:rsid w:val="002B2A7B"/>
    <w:rsid w:val="002B2EB9"/>
    <w:rsid w:val="002B4DE8"/>
    <w:rsid w:val="002B4F28"/>
    <w:rsid w:val="002B51F9"/>
    <w:rsid w:val="002B7E7D"/>
    <w:rsid w:val="002C345D"/>
    <w:rsid w:val="002C3644"/>
    <w:rsid w:val="002C628F"/>
    <w:rsid w:val="002C6961"/>
    <w:rsid w:val="002D1D9E"/>
    <w:rsid w:val="002D3E80"/>
    <w:rsid w:val="002D6A3D"/>
    <w:rsid w:val="002E1BBD"/>
    <w:rsid w:val="002E401D"/>
    <w:rsid w:val="002E4874"/>
    <w:rsid w:val="002E4876"/>
    <w:rsid w:val="002E691D"/>
    <w:rsid w:val="002E7533"/>
    <w:rsid w:val="002E76F0"/>
    <w:rsid w:val="002F3A89"/>
    <w:rsid w:val="002F4151"/>
    <w:rsid w:val="002F7B39"/>
    <w:rsid w:val="0030178C"/>
    <w:rsid w:val="00302288"/>
    <w:rsid w:val="00305BA7"/>
    <w:rsid w:val="0030677B"/>
    <w:rsid w:val="0030764C"/>
    <w:rsid w:val="00307BC6"/>
    <w:rsid w:val="00311D0B"/>
    <w:rsid w:val="003122B0"/>
    <w:rsid w:val="003128B5"/>
    <w:rsid w:val="00312A86"/>
    <w:rsid w:val="0032091E"/>
    <w:rsid w:val="00321001"/>
    <w:rsid w:val="00322291"/>
    <w:rsid w:val="00330127"/>
    <w:rsid w:val="003310C8"/>
    <w:rsid w:val="003342DE"/>
    <w:rsid w:val="003414C8"/>
    <w:rsid w:val="0034381E"/>
    <w:rsid w:val="003449D5"/>
    <w:rsid w:val="003462EB"/>
    <w:rsid w:val="003468A3"/>
    <w:rsid w:val="0034709D"/>
    <w:rsid w:val="00347947"/>
    <w:rsid w:val="003518FB"/>
    <w:rsid w:val="00352176"/>
    <w:rsid w:val="00353C34"/>
    <w:rsid w:val="00354AF2"/>
    <w:rsid w:val="00354BAE"/>
    <w:rsid w:val="00355DE4"/>
    <w:rsid w:val="003563F4"/>
    <w:rsid w:val="00356425"/>
    <w:rsid w:val="00356E21"/>
    <w:rsid w:val="00362082"/>
    <w:rsid w:val="0036499B"/>
    <w:rsid w:val="00364FDD"/>
    <w:rsid w:val="00366217"/>
    <w:rsid w:val="00366DD1"/>
    <w:rsid w:val="003739C9"/>
    <w:rsid w:val="00373AAE"/>
    <w:rsid w:val="00373AE6"/>
    <w:rsid w:val="00376579"/>
    <w:rsid w:val="0038065D"/>
    <w:rsid w:val="00380C50"/>
    <w:rsid w:val="0038183E"/>
    <w:rsid w:val="00384AC7"/>
    <w:rsid w:val="0038717A"/>
    <w:rsid w:val="00387C70"/>
    <w:rsid w:val="00387DC3"/>
    <w:rsid w:val="00391371"/>
    <w:rsid w:val="00391F2F"/>
    <w:rsid w:val="00393C0E"/>
    <w:rsid w:val="00395C7B"/>
    <w:rsid w:val="0039713E"/>
    <w:rsid w:val="00397B36"/>
    <w:rsid w:val="00397B79"/>
    <w:rsid w:val="003A091A"/>
    <w:rsid w:val="003A145D"/>
    <w:rsid w:val="003A5750"/>
    <w:rsid w:val="003A591F"/>
    <w:rsid w:val="003A5B12"/>
    <w:rsid w:val="003A5F35"/>
    <w:rsid w:val="003A6F36"/>
    <w:rsid w:val="003B0C12"/>
    <w:rsid w:val="003B1172"/>
    <w:rsid w:val="003B18FF"/>
    <w:rsid w:val="003B488C"/>
    <w:rsid w:val="003B691F"/>
    <w:rsid w:val="003C2587"/>
    <w:rsid w:val="003C25DA"/>
    <w:rsid w:val="003C3610"/>
    <w:rsid w:val="003C5B48"/>
    <w:rsid w:val="003C6443"/>
    <w:rsid w:val="003D3676"/>
    <w:rsid w:val="003D49DE"/>
    <w:rsid w:val="003D5D78"/>
    <w:rsid w:val="003D6908"/>
    <w:rsid w:val="003E04A7"/>
    <w:rsid w:val="003E19A4"/>
    <w:rsid w:val="003E3C5A"/>
    <w:rsid w:val="003E6434"/>
    <w:rsid w:val="003E6B79"/>
    <w:rsid w:val="003F140D"/>
    <w:rsid w:val="003F5575"/>
    <w:rsid w:val="003F5E08"/>
    <w:rsid w:val="003F695F"/>
    <w:rsid w:val="00401E7B"/>
    <w:rsid w:val="0040381B"/>
    <w:rsid w:val="00403B8D"/>
    <w:rsid w:val="004040D6"/>
    <w:rsid w:val="004052D9"/>
    <w:rsid w:val="00407EAD"/>
    <w:rsid w:val="004101EE"/>
    <w:rsid w:val="004174A2"/>
    <w:rsid w:val="00420556"/>
    <w:rsid w:val="0042182F"/>
    <w:rsid w:val="0042232B"/>
    <w:rsid w:val="00424349"/>
    <w:rsid w:val="0043287B"/>
    <w:rsid w:val="00436E19"/>
    <w:rsid w:val="00441554"/>
    <w:rsid w:val="00441769"/>
    <w:rsid w:val="004419A3"/>
    <w:rsid w:val="00441CF5"/>
    <w:rsid w:val="00441E07"/>
    <w:rsid w:val="0044624E"/>
    <w:rsid w:val="00446F34"/>
    <w:rsid w:val="00447717"/>
    <w:rsid w:val="00450A8E"/>
    <w:rsid w:val="00452CE6"/>
    <w:rsid w:val="00454197"/>
    <w:rsid w:val="00460A8D"/>
    <w:rsid w:val="00462DFD"/>
    <w:rsid w:val="0046351E"/>
    <w:rsid w:val="00463568"/>
    <w:rsid w:val="004668D3"/>
    <w:rsid w:val="004674B3"/>
    <w:rsid w:val="0047002A"/>
    <w:rsid w:val="00471812"/>
    <w:rsid w:val="00480DE3"/>
    <w:rsid w:val="004818F0"/>
    <w:rsid w:val="004824DD"/>
    <w:rsid w:val="004848D6"/>
    <w:rsid w:val="0048533C"/>
    <w:rsid w:val="00486764"/>
    <w:rsid w:val="00490176"/>
    <w:rsid w:val="00490A4D"/>
    <w:rsid w:val="00492374"/>
    <w:rsid w:val="00492C4F"/>
    <w:rsid w:val="00493B3C"/>
    <w:rsid w:val="00493B5F"/>
    <w:rsid w:val="004956D8"/>
    <w:rsid w:val="0049701F"/>
    <w:rsid w:val="004A57D2"/>
    <w:rsid w:val="004A6446"/>
    <w:rsid w:val="004A6CB2"/>
    <w:rsid w:val="004B013B"/>
    <w:rsid w:val="004B76B0"/>
    <w:rsid w:val="004B7972"/>
    <w:rsid w:val="004C2377"/>
    <w:rsid w:val="004C3DC2"/>
    <w:rsid w:val="004C6AA8"/>
    <w:rsid w:val="004C783D"/>
    <w:rsid w:val="004D0094"/>
    <w:rsid w:val="004D23CA"/>
    <w:rsid w:val="004D3D91"/>
    <w:rsid w:val="004D62E2"/>
    <w:rsid w:val="004E00B3"/>
    <w:rsid w:val="004E02CA"/>
    <w:rsid w:val="004E1139"/>
    <w:rsid w:val="004E1957"/>
    <w:rsid w:val="004E518D"/>
    <w:rsid w:val="004E5574"/>
    <w:rsid w:val="004E6259"/>
    <w:rsid w:val="004E7741"/>
    <w:rsid w:val="004F0DD6"/>
    <w:rsid w:val="004F6670"/>
    <w:rsid w:val="0050041F"/>
    <w:rsid w:val="00500421"/>
    <w:rsid w:val="0050045D"/>
    <w:rsid w:val="00501C93"/>
    <w:rsid w:val="00501F06"/>
    <w:rsid w:val="005020CE"/>
    <w:rsid w:val="00503AB7"/>
    <w:rsid w:val="005045CC"/>
    <w:rsid w:val="00505F03"/>
    <w:rsid w:val="00507C1B"/>
    <w:rsid w:val="0051246F"/>
    <w:rsid w:val="00514005"/>
    <w:rsid w:val="005142A0"/>
    <w:rsid w:val="00517FEA"/>
    <w:rsid w:val="00521A2E"/>
    <w:rsid w:val="00523691"/>
    <w:rsid w:val="0052456E"/>
    <w:rsid w:val="00525ABF"/>
    <w:rsid w:val="0053025D"/>
    <w:rsid w:val="005302AD"/>
    <w:rsid w:val="00530745"/>
    <w:rsid w:val="00531356"/>
    <w:rsid w:val="0053172F"/>
    <w:rsid w:val="00534A19"/>
    <w:rsid w:val="00536B54"/>
    <w:rsid w:val="0054142D"/>
    <w:rsid w:val="00541BB6"/>
    <w:rsid w:val="005443CA"/>
    <w:rsid w:val="005447A9"/>
    <w:rsid w:val="00550F74"/>
    <w:rsid w:val="005513B4"/>
    <w:rsid w:val="005542C4"/>
    <w:rsid w:val="00554464"/>
    <w:rsid w:val="0055692A"/>
    <w:rsid w:val="00556D23"/>
    <w:rsid w:val="00557678"/>
    <w:rsid w:val="005603D7"/>
    <w:rsid w:val="00562711"/>
    <w:rsid w:val="005637D1"/>
    <w:rsid w:val="00563C27"/>
    <w:rsid w:val="00564CD4"/>
    <w:rsid w:val="00566ADB"/>
    <w:rsid w:val="00566D8E"/>
    <w:rsid w:val="00567222"/>
    <w:rsid w:val="00567F78"/>
    <w:rsid w:val="005722CC"/>
    <w:rsid w:val="0057613D"/>
    <w:rsid w:val="00576A58"/>
    <w:rsid w:val="005774FC"/>
    <w:rsid w:val="005775A4"/>
    <w:rsid w:val="00577C91"/>
    <w:rsid w:val="00580F77"/>
    <w:rsid w:val="005817EB"/>
    <w:rsid w:val="00581CCD"/>
    <w:rsid w:val="00582F49"/>
    <w:rsid w:val="0058309C"/>
    <w:rsid w:val="00583974"/>
    <w:rsid w:val="00590677"/>
    <w:rsid w:val="005933CC"/>
    <w:rsid w:val="005942E5"/>
    <w:rsid w:val="00594B44"/>
    <w:rsid w:val="00597910"/>
    <w:rsid w:val="005A2D44"/>
    <w:rsid w:val="005A6312"/>
    <w:rsid w:val="005A635A"/>
    <w:rsid w:val="005B104F"/>
    <w:rsid w:val="005B25DD"/>
    <w:rsid w:val="005B3F7C"/>
    <w:rsid w:val="005B4104"/>
    <w:rsid w:val="005B4812"/>
    <w:rsid w:val="005C5039"/>
    <w:rsid w:val="005C6473"/>
    <w:rsid w:val="005C6692"/>
    <w:rsid w:val="005D4D3D"/>
    <w:rsid w:val="005D7D03"/>
    <w:rsid w:val="005D7D74"/>
    <w:rsid w:val="005E16D0"/>
    <w:rsid w:val="005E2531"/>
    <w:rsid w:val="005E2636"/>
    <w:rsid w:val="005E41E4"/>
    <w:rsid w:val="005E660B"/>
    <w:rsid w:val="005F1354"/>
    <w:rsid w:val="005F35F9"/>
    <w:rsid w:val="005F5B1E"/>
    <w:rsid w:val="00601A2C"/>
    <w:rsid w:val="006031DE"/>
    <w:rsid w:val="00604AB6"/>
    <w:rsid w:val="00604CFE"/>
    <w:rsid w:val="006066BD"/>
    <w:rsid w:val="00607812"/>
    <w:rsid w:val="00610915"/>
    <w:rsid w:val="0061092B"/>
    <w:rsid w:val="00611971"/>
    <w:rsid w:val="00611A94"/>
    <w:rsid w:val="0061353C"/>
    <w:rsid w:val="006150D9"/>
    <w:rsid w:val="006156F3"/>
    <w:rsid w:val="00621FE4"/>
    <w:rsid w:val="006227DE"/>
    <w:rsid w:val="00624F7E"/>
    <w:rsid w:val="00627C0D"/>
    <w:rsid w:val="0063458C"/>
    <w:rsid w:val="00635160"/>
    <w:rsid w:val="0063697C"/>
    <w:rsid w:val="006379CE"/>
    <w:rsid w:val="00640D46"/>
    <w:rsid w:val="00641185"/>
    <w:rsid w:val="006413AC"/>
    <w:rsid w:val="006441F0"/>
    <w:rsid w:val="00645FC2"/>
    <w:rsid w:val="0065033F"/>
    <w:rsid w:val="00653391"/>
    <w:rsid w:val="006539BA"/>
    <w:rsid w:val="00654BF9"/>
    <w:rsid w:val="00655BE0"/>
    <w:rsid w:val="00655CC5"/>
    <w:rsid w:val="00656898"/>
    <w:rsid w:val="00660D02"/>
    <w:rsid w:val="006620C4"/>
    <w:rsid w:val="006644FF"/>
    <w:rsid w:val="0066609B"/>
    <w:rsid w:val="0066688F"/>
    <w:rsid w:val="00666DD9"/>
    <w:rsid w:val="00670E34"/>
    <w:rsid w:val="006713C3"/>
    <w:rsid w:val="006718B4"/>
    <w:rsid w:val="00672264"/>
    <w:rsid w:val="00672E76"/>
    <w:rsid w:val="006744A8"/>
    <w:rsid w:val="00675A08"/>
    <w:rsid w:val="00676973"/>
    <w:rsid w:val="00676BE7"/>
    <w:rsid w:val="00680308"/>
    <w:rsid w:val="0068190C"/>
    <w:rsid w:val="00682F4D"/>
    <w:rsid w:val="00684D6C"/>
    <w:rsid w:val="00686FB4"/>
    <w:rsid w:val="006941B7"/>
    <w:rsid w:val="006941D1"/>
    <w:rsid w:val="00696157"/>
    <w:rsid w:val="00696EF2"/>
    <w:rsid w:val="006A093B"/>
    <w:rsid w:val="006A2C9C"/>
    <w:rsid w:val="006A4808"/>
    <w:rsid w:val="006A68DA"/>
    <w:rsid w:val="006A6A7A"/>
    <w:rsid w:val="006B02AA"/>
    <w:rsid w:val="006B1A8D"/>
    <w:rsid w:val="006B4749"/>
    <w:rsid w:val="006B5008"/>
    <w:rsid w:val="006B51A1"/>
    <w:rsid w:val="006C228D"/>
    <w:rsid w:val="006C2C18"/>
    <w:rsid w:val="006D083C"/>
    <w:rsid w:val="006D1A40"/>
    <w:rsid w:val="006D2E00"/>
    <w:rsid w:val="006D4464"/>
    <w:rsid w:val="006D6A73"/>
    <w:rsid w:val="006D7076"/>
    <w:rsid w:val="006E1779"/>
    <w:rsid w:val="006E3157"/>
    <w:rsid w:val="006E3BBC"/>
    <w:rsid w:val="006E5C9F"/>
    <w:rsid w:val="006F15F3"/>
    <w:rsid w:val="006F1AA9"/>
    <w:rsid w:val="006F1C9B"/>
    <w:rsid w:val="006F32A5"/>
    <w:rsid w:val="006F4987"/>
    <w:rsid w:val="006F4C2B"/>
    <w:rsid w:val="006F55DD"/>
    <w:rsid w:val="006F73FD"/>
    <w:rsid w:val="006F7CEC"/>
    <w:rsid w:val="007013B6"/>
    <w:rsid w:val="00702773"/>
    <w:rsid w:val="00703B95"/>
    <w:rsid w:val="007048DF"/>
    <w:rsid w:val="00710A50"/>
    <w:rsid w:val="00712050"/>
    <w:rsid w:val="007127ED"/>
    <w:rsid w:val="007131B5"/>
    <w:rsid w:val="00714D02"/>
    <w:rsid w:val="00717CCF"/>
    <w:rsid w:val="007206F6"/>
    <w:rsid w:val="00720705"/>
    <w:rsid w:val="00722A20"/>
    <w:rsid w:val="00731A5D"/>
    <w:rsid w:val="007325E8"/>
    <w:rsid w:val="00733CAF"/>
    <w:rsid w:val="00735662"/>
    <w:rsid w:val="00740609"/>
    <w:rsid w:val="007415AD"/>
    <w:rsid w:val="00742748"/>
    <w:rsid w:val="00746570"/>
    <w:rsid w:val="007479D3"/>
    <w:rsid w:val="00753363"/>
    <w:rsid w:val="00754F60"/>
    <w:rsid w:val="00754FBC"/>
    <w:rsid w:val="007608DF"/>
    <w:rsid w:val="00761300"/>
    <w:rsid w:val="007628D0"/>
    <w:rsid w:val="00763459"/>
    <w:rsid w:val="00763CB8"/>
    <w:rsid w:val="00763F7B"/>
    <w:rsid w:val="00766207"/>
    <w:rsid w:val="00766C91"/>
    <w:rsid w:val="0076729E"/>
    <w:rsid w:val="00767982"/>
    <w:rsid w:val="00767FC2"/>
    <w:rsid w:val="00772120"/>
    <w:rsid w:val="0077214B"/>
    <w:rsid w:val="00773E36"/>
    <w:rsid w:val="00774981"/>
    <w:rsid w:val="00775266"/>
    <w:rsid w:val="007774AF"/>
    <w:rsid w:val="007777B0"/>
    <w:rsid w:val="00780CA7"/>
    <w:rsid w:val="00783A8A"/>
    <w:rsid w:val="00783BC5"/>
    <w:rsid w:val="007858B2"/>
    <w:rsid w:val="0079100A"/>
    <w:rsid w:val="00794440"/>
    <w:rsid w:val="00794670"/>
    <w:rsid w:val="00795554"/>
    <w:rsid w:val="007A0E34"/>
    <w:rsid w:val="007A338E"/>
    <w:rsid w:val="007A3DA6"/>
    <w:rsid w:val="007A489B"/>
    <w:rsid w:val="007A5C02"/>
    <w:rsid w:val="007B030C"/>
    <w:rsid w:val="007B1FDF"/>
    <w:rsid w:val="007B2998"/>
    <w:rsid w:val="007B2DC4"/>
    <w:rsid w:val="007C0BB6"/>
    <w:rsid w:val="007C2512"/>
    <w:rsid w:val="007C3640"/>
    <w:rsid w:val="007C4781"/>
    <w:rsid w:val="007C5CFB"/>
    <w:rsid w:val="007C726E"/>
    <w:rsid w:val="007D2859"/>
    <w:rsid w:val="007D30F8"/>
    <w:rsid w:val="007D38DC"/>
    <w:rsid w:val="007D3DFB"/>
    <w:rsid w:val="007D469C"/>
    <w:rsid w:val="007D523F"/>
    <w:rsid w:val="007E5A83"/>
    <w:rsid w:val="007E6CBE"/>
    <w:rsid w:val="007E7531"/>
    <w:rsid w:val="007F2A51"/>
    <w:rsid w:val="008008DD"/>
    <w:rsid w:val="00803D9D"/>
    <w:rsid w:val="0080540A"/>
    <w:rsid w:val="00807B0B"/>
    <w:rsid w:val="00810476"/>
    <w:rsid w:val="008119FC"/>
    <w:rsid w:val="00812CFB"/>
    <w:rsid w:val="00814F28"/>
    <w:rsid w:val="00821D8C"/>
    <w:rsid w:val="00822F01"/>
    <w:rsid w:val="00823966"/>
    <w:rsid w:val="00827702"/>
    <w:rsid w:val="00832801"/>
    <w:rsid w:val="00835DE7"/>
    <w:rsid w:val="00836274"/>
    <w:rsid w:val="00840797"/>
    <w:rsid w:val="00840D6C"/>
    <w:rsid w:val="00844EBC"/>
    <w:rsid w:val="00845352"/>
    <w:rsid w:val="00845918"/>
    <w:rsid w:val="00847760"/>
    <w:rsid w:val="00847FB2"/>
    <w:rsid w:val="0085462A"/>
    <w:rsid w:val="0086212C"/>
    <w:rsid w:val="00863C3E"/>
    <w:rsid w:val="0087257C"/>
    <w:rsid w:val="00873197"/>
    <w:rsid w:val="00876A77"/>
    <w:rsid w:val="00876FBD"/>
    <w:rsid w:val="0088169D"/>
    <w:rsid w:val="00884147"/>
    <w:rsid w:val="00884885"/>
    <w:rsid w:val="00885EA8"/>
    <w:rsid w:val="00886431"/>
    <w:rsid w:val="008872F7"/>
    <w:rsid w:val="00891513"/>
    <w:rsid w:val="00893CF9"/>
    <w:rsid w:val="008956F2"/>
    <w:rsid w:val="008A17F6"/>
    <w:rsid w:val="008A3A1B"/>
    <w:rsid w:val="008A7D35"/>
    <w:rsid w:val="008B2E14"/>
    <w:rsid w:val="008B3D97"/>
    <w:rsid w:val="008C0F9F"/>
    <w:rsid w:val="008C2686"/>
    <w:rsid w:val="008C31FA"/>
    <w:rsid w:val="008C3360"/>
    <w:rsid w:val="008C49F8"/>
    <w:rsid w:val="008D07A5"/>
    <w:rsid w:val="008D296E"/>
    <w:rsid w:val="008E446B"/>
    <w:rsid w:val="008F15CF"/>
    <w:rsid w:val="008F21E2"/>
    <w:rsid w:val="008F4D34"/>
    <w:rsid w:val="008F5A03"/>
    <w:rsid w:val="008F7C1C"/>
    <w:rsid w:val="00900FD5"/>
    <w:rsid w:val="00904866"/>
    <w:rsid w:val="00904C18"/>
    <w:rsid w:val="009103BF"/>
    <w:rsid w:val="00911A7A"/>
    <w:rsid w:val="00913303"/>
    <w:rsid w:val="00913826"/>
    <w:rsid w:val="00914518"/>
    <w:rsid w:val="009200FD"/>
    <w:rsid w:val="00924A8B"/>
    <w:rsid w:val="00924A96"/>
    <w:rsid w:val="00927E1C"/>
    <w:rsid w:val="009302C8"/>
    <w:rsid w:val="009326B4"/>
    <w:rsid w:val="00933CF9"/>
    <w:rsid w:val="00934E7D"/>
    <w:rsid w:val="00935527"/>
    <w:rsid w:val="009361CF"/>
    <w:rsid w:val="00937D75"/>
    <w:rsid w:val="00942C6C"/>
    <w:rsid w:val="00943155"/>
    <w:rsid w:val="009452AD"/>
    <w:rsid w:val="0094718D"/>
    <w:rsid w:val="00947D57"/>
    <w:rsid w:val="009505C6"/>
    <w:rsid w:val="009515E4"/>
    <w:rsid w:val="00952719"/>
    <w:rsid w:val="009530A6"/>
    <w:rsid w:val="009534D6"/>
    <w:rsid w:val="009570B7"/>
    <w:rsid w:val="00961C2B"/>
    <w:rsid w:val="00961D88"/>
    <w:rsid w:val="00961E36"/>
    <w:rsid w:val="00965375"/>
    <w:rsid w:val="00971380"/>
    <w:rsid w:val="00976217"/>
    <w:rsid w:val="00976EE4"/>
    <w:rsid w:val="00981581"/>
    <w:rsid w:val="00981A44"/>
    <w:rsid w:val="00984E24"/>
    <w:rsid w:val="00991CC5"/>
    <w:rsid w:val="00994F5B"/>
    <w:rsid w:val="0099688E"/>
    <w:rsid w:val="009A4353"/>
    <w:rsid w:val="009B259C"/>
    <w:rsid w:val="009B264E"/>
    <w:rsid w:val="009B2AD2"/>
    <w:rsid w:val="009C1C45"/>
    <w:rsid w:val="009C3BF8"/>
    <w:rsid w:val="009C3DBE"/>
    <w:rsid w:val="009C4755"/>
    <w:rsid w:val="009C483C"/>
    <w:rsid w:val="009C747C"/>
    <w:rsid w:val="009D0131"/>
    <w:rsid w:val="009D02B1"/>
    <w:rsid w:val="009D2226"/>
    <w:rsid w:val="009D3B67"/>
    <w:rsid w:val="009E1757"/>
    <w:rsid w:val="009E2AAF"/>
    <w:rsid w:val="009F01BF"/>
    <w:rsid w:val="009F2CD0"/>
    <w:rsid w:val="009F2D1D"/>
    <w:rsid w:val="009F4321"/>
    <w:rsid w:val="009F5EC4"/>
    <w:rsid w:val="009F64F7"/>
    <w:rsid w:val="009F768F"/>
    <w:rsid w:val="00A01A60"/>
    <w:rsid w:val="00A02C8F"/>
    <w:rsid w:val="00A02F2F"/>
    <w:rsid w:val="00A05630"/>
    <w:rsid w:val="00A05C0F"/>
    <w:rsid w:val="00A0787F"/>
    <w:rsid w:val="00A12D39"/>
    <w:rsid w:val="00A13E54"/>
    <w:rsid w:val="00A14AA1"/>
    <w:rsid w:val="00A14D95"/>
    <w:rsid w:val="00A151BF"/>
    <w:rsid w:val="00A16831"/>
    <w:rsid w:val="00A17E20"/>
    <w:rsid w:val="00A21154"/>
    <w:rsid w:val="00A22F29"/>
    <w:rsid w:val="00A2320B"/>
    <w:rsid w:val="00A23EAE"/>
    <w:rsid w:val="00A252A7"/>
    <w:rsid w:val="00A26494"/>
    <w:rsid w:val="00A30AE8"/>
    <w:rsid w:val="00A339FC"/>
    <w:rsid w:val="00A35682"/>
    <w:rsid w:val="00A37735"/>
    <w:rsid w:val="00A37FF7"/>
    <w:rsid w:val="00A40FD4"/>
    <w:rsid w:val="00A4325E"/>
    <w:rsid w:val="00A45273"/>
    <w:rsid w:val="00A460BA"/>
    <w:rsid w:val="00A46ABA"/>
    <w:rsid w:val="00A4711F"/>
    <w:rsid w:val="00A50710"/>
    <w:rsid w:val="00A52654"/>
    <w:rsid w:val="00A55A5B"/>
    <w:rsid w:val="00A5786E"/>
    <w:rsid w:val="00A65266"/>
    <w:rsid w:val="00A7008C"/>
    <w:rsid w:val="00A70DC2"/>
    <w:rsid w:val="00A70DDE"/>
    <w:rsid w:val="00A736C9"/>
    <w:rsid w:val="00A765BE"/>
    <w:rsid w:val="00A76B40"/>
    <w:rsid w:val="00A770D2"/>
    <w:rsid w:val="00A8687D"/>
    <w:rsid w:val="00A87DC1"/>
    <w:rsid w:val="00A90C21"/>
    <w:rsid w:val="00A91AD5"/>
    <w:rsid w:val="00A96E30"/>
    <w:rsid w:val="00AA11FD"/>
    <w:rsid w:val="00AA17B1"/>
    <w:rsid w:val="00AA1ED8"/>
    <w:rsid w:val="00AA224B"/>
    <w:rsid w:val="00AA227E"/>
    <w:rsid w:val="00AA32ED"/>
    <w:rsid w:val="00AA38DA"/>
    <w:rsid w:val="00AA7671"/>
    <w:rsid w:val="00AB0A6A"/>
    <w:rsid w:val="00AB1906"/>
    <w:rsid w:val="00AB2652"/>
    <w:rsid w:val="00AB3496"/>
    <w:rsid w:val="00AB59AC"/>
    <w:rsid w:val="00AC00F3"/>
    <w:rsid w:val="00AC1CCC"/>
    <w:rsid w:val="00AC33A7"/>
    <w:rsid w:val="00AC3B18"/>
    <w:rsid w:val="00AC3D3F"/>
    <w:rsid w:val="00AC5507"/>
    <w:rsid w:val="00AC5D4C"/>
    <w:rsid w:val="00AC5F09"/>
    <w:rsid w:val="00AC7B24"/>
    <w:rsid w:val="00AC7F1F"/>
    <w:rsid w:val="00AD0551"/>
    <w:rsid w:val="00AD10F0"/>
    <w:rsid w:val="00AD2819"/>
    <w:rsid w:val="00AD68CB"/>
    <w:rsid w:val="00AE0613"/>
    <w:rsid w:val="00AE1949"/>
    <w:rsid w:val="00AE1D5C"/>
    <w:rsid w:val="00AE273D"/>
    <w:rsid w:val="00AE50AC"/>
    <w:rsid w:val="00AF364C"/>
    <w:rsid w:val="00AF7510"/>
    <w:rsid w:val="00AF7552"/>
    <w:rsid w:val="00AF76AA"/>
    <w:rsid w:val="00B00300"/>
    <w:rsid w:val="00B01A38"/>
    <w:rsid w:val="00B0202A"/>
    <w:rsid w:val="00B020A2"/>
    <w:rsid w:val="00B043A0"/>
    <w:rsid w:val="00B06FF4"/>
    <w:rsid w:val="00B07357"/>
    <w:rsid w:val="00B16297"/>
    <w:rsid w:val="00B175B8"/>
    <w:rsid w:val="00B20826"/>
    <w:rsid w:val="00B241C6"/>
    <w:rsid w:val="00B26407"/>
    <w:rsid w:val="00B26EA0"/>
    <w:rsid w:val="00B27BA4"/>
    <w:rsid w:val="00B312E7"/>
    <w:rsid w:val="00B3162C"/>
    <w:rsid w:val="00B33196"/>
    <w:rsid w:val="00B350EF"/>
    <w:rsid w:val="00B357AD"/>
    <w:rsid w:val="00B376BD"/>
    <w:rsid w:val="00B40C9A"/>
    <w:rsid w:val="00B41FF6"/>
    <w:rsid w:val="00B441C2"/>
    <w:rsid w:val="00B45792"/>
    <w:rsid w:val="00B45CD0"/>
    <w:rsid w:val="00B5073D"/>
    <w:rsid w:val="00B52CFB"/>
    <w:rsid w:val="00B5536F"/>
    <w:rsid w:val="00B56DC7"/>
    <w:rsid w:val="00B62454"/>
    <w:rsid w:val="00B63891"/>
    <w:rsid w:val="00B65255"/>
    <w:rsid w:val="00B666D2"/>
    <w:rsid w:val="00B718E1"/>
    <w:rsid w:val="00B74E04"/>
    <w:rsid w:val="00B753BC"/>
    <w:rsid w:val="00B77677"/>
    <w:rsid w:val="00B77EFF"/>
    <w:rsid w:val="00B82D40"/>
    <w:rsid w:val="00B837F3"/>
    <w:rsid w:val="00B83EE9"/>
    <w:rsid w:val="00B84A43"/>
    <w:rsid w:val="00B84BB7"/>
    <w:rsid w:val="00B85952"/>
    <w:rsid w:val="00B864B9"/>
    <w:rsid w:val="00B90E2F"/>
    <w:rsid w:val="00B91482"/>
    <w:rsid w:val="00B91760"/>
    <w:rsid w:val="00B94D4B"/>
    <w:rsid w:val="00B961A1"/>
    <w:rsid w:val="00B97619"/>
    <w:rsid w:val="00BA19BA"/>
    <w:rsid w:val="00BA455E"/>
    <w:rsid w:val="00BA6A65"/>
    <w:rsid w:val="00BA6CC8"/>
    <w:rsid w:val="00BA7661"/>
    <w:rsid w:val="00BB1D4F"/>
    <w:rsid w:val="00BB1EE4"/>
    <w:rsid w:val="00BB2FEE"/>
    <w:rsid w:val="00BB3445"/>
    <w:rsid w:val="00BB3938"/>
    <w:rsid w:val="00BB468D"/>
    <w:rsid w:val="00BB7D98"/>
    <w:rsid w:val="00BC0298"/>
    <w:rsid w:val="00BC2529"/>
    <w:rsid w:val="00BC336C"/>
    <w:rsid w:val="00BC46A0"/>
    <w:rsid w:val="00BC5789"/>
    <w:rsid w:val="00BD1330"/>
    <w:rsid w:val="00BD4543"/>
    <w:rsid w:val="00BD514C"/>
    <w:rsid w:val="00BD74A3"/>
    <w:rsid w:val="00BD7887"/>
    <w:rsid w:val="00BE3301"/>
    <w:rsid w:val="00BE3A22"/>
    <w:rsid w:val="00BE7D9A"/>
    <w:rsid w:val="00BF2473"/>
    <w:rsid w:val="00BF248F"/>
    <w:rsid w:val="00BF4C3A"/>
    <w:rsid w:val="00BF655D"/>
    <w:rsid w:val="00BF730A"/>
    <w:rsid w:val="00C024BF"/>
    <w:rsid w:val="00C03884"/>
    <w:rsid w:val="00C03DFC"/>
    <w:rsid w:val="00C05739"/>
    <w:rsid w:val="00C06BF6"/>
    <w:rsid w:val="00C077F0"/>
    <w:rsid w:val="00C13116"/>
    <w:rsid w:val="00C15C15"/>
    <w:rsid w:val="00C15F7E"/>
    <w:rsid w:val="00C16859"/>
    <w:rsid w:val="00C231F9"/>
    <w:rsid w:val="00C23FAC"/>
    <w:rsid w:val="00C24628"/>
    <w:rsid w:val="00C25D3C"/>
    <w:rsid w:val="00C45EFD"/>
    <w:rsid w:val="00C46C3A"/>
    <w:rsid w:val="00C52D62"/>
    <w:rsid w:val="00C544F1"/>
    <w:rsid w:val="00C54FEA"/>
    <w:rsid w:val="00C55A08"/>
    <w:rsid w:val="00C56F41"/>
    <w:rsid w:val="00C60A7E"/>
    <w:rsid w:val="00C625D1"/>
    <w:rsid w:val="00C62782"/>
    <w:rsid w:val="00C627E9"/>
    <w:rsid w:val="00C7096E"/>
    <w:rsid w:val="00C71E28"/>
    <w:rsid w:val="00C726BA"/>
    <w:rsid w:val="00C72F60"/>
    <w:rsid w:val="00C73205"/>
    <w:rsid w:val="00C75008"/>
    <w:rsid w:val="00C82174"/>
    <w:rsid w:val="00C84E79"/>
    <w:rsid w:val="00C85DD3"/>
    <w:rsid w:val="00C87518"/>
    <w:rsid w:val="00C95F99"/>
    <w:rsid w:val="00CA06DE"/>
    <w:rsid w:val="00CA2A82"/>
    <w:rsid w:val="00CA3874"/>
    <w:rsid w:val="00CA6B2C"/>
    <w:rsid w:val="00CB09A9"/>
    <w:rsid w:val="00CB6FC7"/>
    <w:rsid w:val="00CC32BC"/>
    <w:rsid w:val="00CC442C"/>
    <w:rsid w:val="00CC44CD"/>
    <w:rsid w:val="00CC505B"/>
    <w:rsid w:val="00CC57C2"/>
    <w:rsid w:val="00CD0170"/>
    <w:rsid w:val="00CD0DC9"/>
    <w:rsid w:val="00CD33C4"/>
    <w:rsid w:val="00CD4E1D"/>
    <w:rsid w:val="00CD66B1"/>
    <w:rsid w:val="00CE12D0"/>
    <w:rsid w:val="00CE3053"/>
    <w:rsid w:val="00CE5016"/>
    <w:rsid w:val="00CF6F17"/>
    <w:rsid w:val="00CF79B7"/>
    <w:rsid w:val="00CF7B67"/>
    <w:rsid w:val="00D00842"/>
    <w:rsid w:val="00D01960"/>
    <w:rsid w:val="00D06081"/>
    <w:rsid w:val="00D06467"/>
    <w:rsid w:val="00D07D1A"/>
    <w:rsid w:val="00D11BE2"/>
    <w:rsid w:val="00D138B2"/>
    <w:rsid w:val="00D16370"/>
    <w:rsid w:val="00D1784E"/>
    <w:rsid w:val="00D23A30"/>
    <w:rsid w:val="00D24C67"/>
    <w:rsid w:val="00D27977"/>
    <w:rsid w:val="00D33155"/>
    <w:rsid w:val="00D33B8A"/>
    <w:rsid w:val="00D33D9B"/>
    <w:rsid w:val="00D35AE3"/>
    <w:rsid w:val="00D36B95"/>
    <w:rsid w:val="00D37EBE"/>
    <w:rsid w:val="00D404FB"/>
    <w:rsid w:val="00D40CC6"/>
    <w:rsid w:val="00D41EB4"/>
    <w:rsid w:val="00D43AE0"/>
    <w:rsid w:val="00D51143"/>
    <w:rsid w:val="00D5209C"/>
    <w:rsid w:val="00D556D3"/>
    <w:rsid w:val="00D569A5"/>
    <w:rsid w:val="00D658AF"/>
    <w:rsid w:val="00D7013A"/>
    <w:rsid w:val="00D72501"/>
    <w:rsid w:val="00D73CCC"/>
    <w:rsid w:val="00D76E35"/>
    <w:rsid w:val="00D7729A"/>
    <w:rsid w:val="00D77C99"/>
    <w:rsid w:val="00D80254"/>
    <w:rsid w:val="00D83593"/>
    <w:rsid w:val="00D85814"/>
    <w:rsid w:val="00D86779"/>
    <w:rsid w:val="00D86CDD"/>
    <w:rsid w:val="00D91078"/>
    <w:rsid w:val="00D918BF"/>
    <w:rsid w:val="00D94A96"/>
    <w:rsid w:val="00DA0DC3"/>
    <w:rsid w:val="00DA1486"/>
    <w:rsid w:val="00DA16D6"/>
    <w:rsid w:val="00DA26A1"/>
    <w:rsid w:val="00DA2EF9"/>
    <w:rsid w:val="00DA441D"/>
    <w:rsid w:val="00DA7CD6"/>
    <w:rsid w:val="00DB01FD"/>
    <w:rsid w:val="00DB0413"/>
    <w:rsid w:val="00DB079B"/>
    <w:rsid w:val="00DB2EC2"/>
    <w:rsid w:val="00DC3818"/>
    <w:rsid w:val="00DC4B71"/>
    <w:rsid w:val="00DC5052"/>
    <w:rsid w:val="00DC5480"/>
    <w:rsid w:val="00DC5A93"/>
    <w:rsid w:val="00DC74C3"/>
    <w:rsid w:val="00DD4C89"/>
    <w:rsid w:val="00DD5F52"/>
    <w:rsid w:val="00DD79A2"/>
    <w:rsid w:val="00DE1C8F"/>
    <w:rsid w:val="00DF09CB"/>
    <w:rsid w:val="00DF1EEE"/>
    <w:rsid w:val="00DF4013"/>
    <w:rsid w:val="00DF4399"/>
    <w:rsid w:val="00DF48C0"/>
    <w:rsid w:val="00DF5409"/>
    <w:rsid w:val="00DF59CB"/>
    <w:rsid w:val="00DF66DD"/>
    <w:rsid w:val="00DF783A"/>
    <w:rsid w:val="00DF7AD0"/>
    <w:rsid w:val="00E016E5"/>
    <w:rsid w:val="00E03537"/>
    <w:rsid w:val="00E0496F"/>
    <w:rsid w:val="00E04B98"/>
    <w:rsid w:val="00E06D55"/>
    <w:rsid w:val="00E06EBA"/>
    <w:rsid w:val="00E0703B"/>
    <w:rsid w:val="00E0779E"/>
    <w:rsid w:val="00E15939"/>
    <w:rsid w:val="00E15B00"/>
    <w:rsid w:val="00E17317"/>
    <w:rsid w:val="00E23BEE"/>
    <w:rsid w:val="00E23C3B"/>
    <w:rsid w:val="00E3106E"/>
    <w:rsid w:val="00E33698"/>
    <w:rsid w:val="00E336BD"/>
    <w:rsid w:val="00E3382C"/>
    <w:rsid w:val="00E33EEB"/>
    <w:rsid w:val="00E353B2"/>
    <w:rsid w:val="00E36343"/>
    <w:rsid w:val="00E37CB1"/>
    <w:rsid w:val="00E41A59"/>
    <w:rsid w:val="00E41F1B"/>
    <w:rsid w:val="00E45215"/>
    <w:rsid w:val="00E52169"/>
    <w:rsid w:val="00E529E7"/>
    <w:rsid w:val="00E544B2"/>
    <w:rsid w:val="00E66A38"/>
    <w:rsid w:val="00E77217"/>
    <w:rsid w:val="00E80638"/>
    <w:rsid w:val="00E81BB4"/>
    <w:rsid w:val="00E81F32"/>
    <w:rsid w:val="00E8246C"/>
    <w:rsid w:val="00E857D2"/>
    <w:rsid w:val="00E86297"/>
    <w:rsid w:val="00E91AEE"/>
    <w:rsid w:val="00E91BBD"/>
    <w:rsid w:val="00E92E87"/>
    <w:rsid w:val="00E931EC"/>
    <w:rsid w:val="00E93CDA"/>
    <w:rsid w:val="00E95A47"/>
    <w:rsid w:val="00E96A0B"/>
    <w:rsid w:val="00E96B16"/>
    <w:rsid w:val="00E97B3A"/>
    <w:rsid w:val="00EA33D5"/>
    <w:rsid w:val="00EA38B7"/>
    <w:rsid w:val="00EA52DB"/>
    <w:rsid w:val="00EA7BB9"/>
    <w:rsid w:val="00EB15F1"/>
    <w:rsid w:val="00EB3438"/>
    <w:rsid w:val="00EC02AC"/>
    <w:rsid w:val="00EC1638"/>
    <w:rsid w:val="00EC6332"/>
    <w:rsid w:val="00EC739B"/>
    <w:rsid w:val="00ED0ABD"/>
    <w:rsid w:val="00ED4E44"/>
    <w:rsid w:val="00ED6B35"/>
    <w:rsid w:val="00EE3CBD"/>
    <w:rsid w:val="00EE5FA7"/>
    <w:rsid w:val="00EF08BB"/>
    <w:rsid w:val="00EF4D19"/>
    <w:rsid w:val="00EF7E19"/>
    <w:rsid w:val="00F0381D"/>
    <w:rsid w:val="00F105B7"/>
    <w:rsid w:val="00F11AB7"/>
    <w:rsid w:val="00F11D2E"/>
    <w:rsid w:val="00F12F5C"/>
    <w:rsid w:val="00F12FF2"/>
    <w:rsid w:val="00F137E5"/>
    <w:rsid w:val="00F146B1"/>
    <w:rsid w:val="00F169BA"/>
    <w:rsid w:val="00F17136"/>
    <w:rsid w:val="00F2175F"/>
    <w:rsid w:val="00F268DB"/>
    <w:rsid w:val="00F32C55"/>
    <w:rsid w:val="00F33D73"/>
    <w:rsid w:val="00F34823"/>
    <w:rsid w:val="00F3553E"/>
    <w:rsid w:val="00F36A32"/>
    <w:rsid w:val="00F37276"/>
    <w:rsid w:val="00F427C3"/>
    <w:rsid w:val="00F433A8"/>
    <w:rsid w:val="00F46087"/>
    <w:rsid w:val="00F46931"/>
    <w:rsid w:val="00F4762C"/>
    <w:rsid w:val="00F551CA"/>
    <w:rsid w:val="00F55377"/>
    <w:rsid w:val="00F55AD1"/>
    <w:rsid w:val="00F566E2"/>
    <w:rsid w:val="00F6261A"/>
    <w:rsid w:val="00F62AC3"/>
    <w:rsid w:val="00F62ECB"/>
    <w:rsid w:val="00F62FAF"/>
    <w:rsid w:val="00F64C34"/>
    <w:rsid w:val="00F66E36"/>
    <w:rsid w:val="00F72EE6"/>
    <w:rsid w:val="00F817FF"/>
    <w:rsid w:val="00F90B22"/>
    <w:rsid w:val="00F93F4A"/>
    <w:rsid w:val="00F95B59"/>
    <w:rsid w:val="00FA55A4"/>
    <w:rsid w:val="00FA5AD2"/>
    <w:rsid w:val="00FA688F"/>
    <w:rsid w:val="00FB0DE7"/>
    <w:rsid w:val="00FB254E"/>
    <w:rsid w:val="00FB4779"/>
    <w:rsid w:val="00FB74A0"/>
    <w:rsid w:val="00FB7904"/>
    <w:rsid w:val="00FC0371"/>
    <w:rsid w:val="00FC18CD"/>
    <w:rsid w:val="00FC1D6B"/>
    <w:rsid w:val="00FC56DF"/>
    <w:rsid w:val="00FC654C"/>
    <w:rsid w:val="00FC7D3C"/>
    <w:rsid w:val="00FE66E2"/>
    <w:rsid w:val="00FE6966"/>
    <w:rsid w:val="00FF1156"/>
    <w:rsid w:val="00FF4E9A"/>
    <w:rsid w:val="00FF7748"/>
    <w:rsid w:val="03D39A51"/>
    <w:rsid w:val="04B27912"/>
    <w:rsid w:val="064D5116"/>
    <w:rsid w:val="0CD27FC2"/>
    <w:rsid w:val="0CD8EC59"/>
    <w:rsid w:val="116D8630"/>
    <w:rsid w:val="134C0019"/>
    <w:rsid w:val="14B4A87E"/>
    <w:rsid w:val="17D9211D"/>
    <w:rsid w:val="1ACAD533"/>
    <w:rsid w:val="1C01C868"/>
    <w:rsid w:val="1EDBAE3C"/>
    <w:rsid w:val="2381C765"/>
    <w:rsid w:val="251FA212"/>
    <w:rsid w:val="252C6700"/>
    <w:rsid w:val="28075E90"/>
    <w:rsid w:val="280C6F2A"/>
    <w:rsid w:val="281F0D73"/>
    <w:rsid w:val="28DB888F"/>
    <w:rsid w:val="2ACF5303"/>
    <w:rsid w:val="2C932C60"/>
    <w:rsid w:val="2E1CCA3B"/>
    <w:rsid w:val="2E29B517"/>
    <w:rsid w:val="2E77B648"/>
    <w:rsid w:val="3834D4AA"/>
    <w:rsid w:val="3965EA28"/>
    <w:rsid w:val="3C1CFC54"/>
    <w:rsid w:val="3D0B5717"/>
    <w:rsid w:val="3DCAEBC3"/>
    <w:rsid w:val="3F902357"/>
    <w:rsid w:val="41194F7B"/>
    <w:rsid w:val="43E8AE9C"/>
    <w:rsid w:val="43F633F1"/>
    <w:rsid w:val="44C1EDAC"/>
    <w:rsid w:val="452ACB83"/>
    <w:rsid w:val="45405D66"/>
    <w:rsid w:val="46B7E539"/>
    <w:rsid w:val="4A38F5CD"/>
    <w:rsid w:val="4B0BD846"/>
    <w:rsid w:val="4DD1E3ED"/>
    <w:rsid w:val="54E8468B"/>
    <w:rsid w:val="57616BAE"/>
    <w:rsid w:val="60D20999"/>
    <w:rsid w:val="65370CC6"/>
    <w:rsid w:val="6A0D869D"/>
    <w:rsid w:val="6B144779"/>
    <w:rsid w:val="6DF0368E"/>
    <w:rsid w:val="6E7D8B19"/>
    <w:rsid w:val="6FF0F1BE"/>
    <w:rsid w:val="74B998A8"/>
    <w:rsid w:val="75334FD4"/>
    <w:rsid w:val="784BF6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E60B"/>
  <w15:chartTrackingRefBased/>
  <w15:docId w15:val="{ACE11909-6A6B-4B8E-BE0E-6A6FB91C1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1D"/>
    <w:pPr>
      <w:spacing w:line="480" w:lineRule="auto"/>
      <w:ind w:firstLine="540"/>
    </w:pPr>
    <w:rPr>
      <w:rFonts w:ascii="Verdana" w:eastAsia="Times New Roman" w:hAnsi="Verdana" w:cs="Times New Roman"/>
      <w:sz w:val="24"/>
      <w:szCs w:val="24"/>
    </w:rPr>
  </w:style>
  <w:style w:type="paragraph" w:styleId="Heading1">
    <w:name w:val="heading 1"/>
    <w:basedOn w:val="Normal"/>
    <w:next w:val="Normal"/>
    <w:link w:val="Heading1Char"/>
    <w:autoRedefine/>
    <w:uiPriority w:val="9"/>
    <w:qFormat/>
    <w:rsid w:val="0055692A"/>
    <w:pPr>
      <w:keepNext/>
      <w:keepLines/>
      <w:spacing w:before="100" w:beforeAutospacing="1" w:after="240"/>
      <w:ind w:firstLine="0"/>
      <w:outlineLvl w:val="0"/>
    </w:pPr>
    <w:rPr>
      <w:rFonts w:eastAsiaTheme="majorEastAsia" w:cstheme="majorBidi"/>
      <w:b/>
      <w:bCs/>
      <w:sz w:val="44"/>
      <w:szCs w:val="44"/>
    </w:rPr>
  </w:style>
  <w:style w:type="paragraph" w:styleId="Heading2">
    <w:name w:val="heading 2"/>
    <w:basedOn w:val="Normal"/>
    <w:next w:val="Normal"/>
    <w:link w:val="Heading2Char"/>
    <w:autoRedefine/>
    <w:uiPriority w:val="9"/>
    <w:unhideWhenUsed/>
    <w:qFormat/>
    <w:rsid w:val="00803D9D"/>
    <w:pPr>
      <w:keepNext/>
      <w:keepLines/>
      <w:spacing w:before="160" w:after="80"/>
      <w:ind w:firstLine="0"/>
      <w:outlineLvl w:val="1"/>
    </w:pPr>
    <w:rPr>
      <w:rFonts w:eastAsiaTheme="majorEastAsia" w:cstheme="majorBidi"/>
      <w:b/>
      <w:i/>
      <w:sz w:val="40"/>
      <w:szCs w:val="40"/>
    </w:rPr>
  </w:style>
  <w:style w:type="paragraph" w:styleId="Heading3">
    <w:name w:val="heading 3"/>
    <w:basedOn w:val="Normal"/>
    <w:next w:val="Normal"/>
    <w:link w:val="Heading3Char"/>
    <w:uiPriority w:val="9"/>
    <w:unhideWhenUsed/>
    <w:qFormat/>
    <w:rsid w:val="006D7076"/>
    <w:pPr>
      <w:keepNext/>
      <w:keepLines/>
      <w:numPr>
        <w:ilvl w:val="2"/>
        <w:numId w:val="2"/>
      </w:numPr>
      <w:spacing w:before="160" w:after="80"/>
      <w:outlineLvl w:val="2"/>
    </w:pPr>
    <w:rPr>
      <w:rFonts w:eastAsiaTheme="majorEastAsia" w:cstheme="majorBidi"/>
      <w:b/>
      <w:bCs/>
    </w:rPr>
  </w:style>
  <w:style w:type="paragraph" w:styleId="Heading4">
    <w:name w:val="heading 4"/>
    <w:basedOn w:val="Normal"/>
    <w:next w:val="Normal"/>
    <w:link w:val="Heading4Char"/>
    <w:uiPriority w:val="9"/>
    <w:unhideWhenUsed/>
    <w:qFormat/>
    <w:rsid w:val="005E2636"/>
    <w:pPr>
      <w:keepNext/>
      <w:keepLines/>
      <w:numPr>
        <w:ilvl w:val="3"/>
        <w:numId w:val="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636"/>
    <w:pPr>
      <w:keepNext/>
      <w:keepLines/>
      <w:numPr>
        <w:ilvl w:val="4"/>
        <w:numId w:val="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636"/>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636"/>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636"/>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636"/>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92A"/>
    <w:rPr>
      <w:rFonts w:ascii="Verdana" w:eastAsiaTheme="majorEastAsia" w:hAnsi="Verdana" w:cstheme="majorBidi"/>
      <w:b/>
      <w:bCs/>
      <w:sz w:val="44"/>
      <w:szCs w:val="44"/>
    </w:rPr>
  </w:style>
  <w:style w:type="character" w:customStyle="1" w:styleId="Heading2Char">
    <w:name w:val="Heading 2 Char"/>
    <w:basedOn w:val="DefaultParagraphFont"/>
    <w:link w:val="Heading2"/>
    <w:uiPriority w:val="9"/>
    <w:rsid w:val="00803D9D"/>
    <w:rPr>
      <w:rFonts w:ascii="Verdana" w:eastAsiaTheme="majorEastAsia" w:hAnsi="Verdana" w:cstheme="majorBidi"/>
      <w:b/>
      <w:i/>
      <w:sz w:val="40"/>
      <w:szCs w:val="40"/>
    </w:rPr>
  </w:style>
  <w:style w:type="character" w:customStyle="1" w:styleId="Heading3Char">
    <w:name w:val="Heading 3 Char"/>
    <w:basedOn w:val="DefaultParagraphFont"/>
    <w:link w:val="Heading3"/>
    <w:uiPriority w:val="9"/>
    <w:rsid w:val="006D7076"/>
    <w:rPr>
      <w:rFonts w:ascii="Verdana" w:eastAsiaTheme="majorEastAsia" w:hAnsi="Verdana" w:cstheme="majorBidi"/>
      <w:b/>
      <w:bCs/>
      <w:sz w:val="24"/>
      <w:szCs w:val="24"/>
    </w:rPr>
  </w:style>
  <w:style w:type="character" w:customStyle="1" w:styleId="Heading4Char">
    <w:name w:val="Heading 4 Char"/>
    <w:basedOn w:val="DefaultParagraphFont"/>
    <w:link w:val="Heading4"/>
    <w:uiPriority w:val="9"/>
    <w:rsid w:val="005E2636"/>
    <w:rPr>
      <w:rFonts w:ascii="Verdana" w:eastAsiaTheme="majorEastAsia" w:hAnsi="Verdana"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sid w:val="005E2636"/>
    <w:rPr>
      <w:rFonts w:ascii="Verdana" w:eastAsiaTheme="majorEastAsia" w:hAnsi="Verdana"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5E2636"/>
    <w:rPr>
      <w:rFonts w:ascii="Verdana" w:eastAsiaTheme="majorEastAsia" w:hAnsi="Verdan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5E2636"/>
    <w:rPr>
      <w:rFonts w:ascii="Verdana" w:eastAsiaTheme="majorEastAsia" w:hAnsi="Verdan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5E2636"/>
    <w:rPr>
      <w:rFonts w:ascii="Verdana" w:eastAsiaTheme="majorEastAsia" w:hAnsi="Verdan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5E2636"/>
    <w:rPr>
      <w:rFonts w:ascii="Verdana" w:eastAsiaTheme="majorEastAsia" w:hAnsi="Verdana" w:cstheme="majorBidi"/>
      <w:color w:val="272727" w:themeColor="text1" w:themeTint="D8"/>
      <w:sz w:val="24"/>
      <w:szCs w:val="24"/>
    </w:rPr>
  </w:style>
  <w:style w:type="paragraph" w:styleId="Title">
    <w:name w:val="Title"/>
    <w:basedOn w:val="Normal"/>
    <w:next w:val="Normal"/>
    <w:link w:val="TitleChar"/>
    <w:uiPriority w:val="10"/>
    <w:qFormat/>
    <w:rsid w:val="005F5B1E"/>
    <w:pPr>
      <w:spacing w:after="80" w:line="360" w:lineRule="auto"/>
      <w:ind w:firstLine="0"/>
      <w:contextualSpacing/>
    </w:pPr>
    <w:rPr>
      <w:rFonts w:eastAsiaTheme="majorEastAsia" w:cstheme="majorBidi"/>
      <w:b/>
      <w:bCs/>
      <w:spacing w:val="-10"/>
      <w:kern w:val="28"/>
      <w:sz w:val="56"/>
      <w:szCs w:val="56"/>
    </w:rPr>
  </w:style>
  <w:style w:type="character" w:customStyle="1" w:styleId="TitleChar">
    <w:name w:val="Title Char"/>
    <w:basedOn w:val="DefaultParagraphFont"/>
    <w:link w:val="Title"/>
    <w:uiPriority w:val="10"/>
    <w:rsid w:val="005F5B1E"/>
    <w:rPr>
      <w:rFonts w:ascii="Verdana" w:eastAsiaTheme="majorEastAsia" w:hAnsi="Verdana" w:cstheme="majorBidi"/>
      <w:b/>
      <w:bCs/>
      <w:spacing w:val="-10"/>
      <w:kern w:val="28"/>
      <w:sz w:val="56"/>
      <w:szCs w:val="56"/>
    </w:rPr>
  </w:style>
  <w:style w:type="paragraph" w:styleId="Subtitle">
    <w:name w:val="Subtitle"/>
    <w:basedOn w:val="Normal"/>
    <w:next w:val="Normal"/>
    <w:link w:val="SubtitleChar"/>
    <w:uiPriority w:val="11"/>
    <w:qFormat/>
    <w:rsid w:val="005E2636"/>
    <w:pPr>
      <w:numPr>
        <w:ilvl w:val="1"/>
      </w:numPr>
      <w:ind w:firstLine="540"/>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5E26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636"/>
    <w:pPr>
      <w:spacing w:before="160"/>
      <w:jc w:val="center"/>
    </w:pPr>
    <w:rPr>
      <w:i/>
      <w:iCs/>
      <w:color w:val="404040" w:themeColor="text1" w:themeTint="BF"/>
    </w:rPr>
  </w:style>
  <w:style w:type="character" w:customStyle="1" w:styleId="QuoteChar">
    <w:name w:val="Quote Char"/>
    <w:basedOn w:val="DefaultParagraphFont"/>
    <w:link w:val="Quote"/>
    <w:uiPriority w:val="29"/>
    <w:rsid w:val="005E2636"/>
    <w:rPr>
      <w:i/>
      <w:iCs/>
      <w:color w:val="404040" w:themeColor="text1" w:themeTint="BF"/>
    </w:rPr>
  </w:style>
  <w:style w:type="paragraph" w:styleId="ListParagraph">
    <w:name w:val="List Paragraph"/>
    <w:basedOn w:val="Normal"/>
    <w:uiPriority w:val="34"/>
    <w:qFormat/>
    <w:rsid w:val="005E2636"/>
    <w:pPr>
      <w:ind w:left="720"/>
      <w:contextualSpacing/>
    </w:pPr>
  </w:style>
  <w:style w:type="character" w:styleId="IntenseEmphasis">
    <w:name w:val="Intense Emphasis"/>
    <w:basedOn w:val="DefaultParagraphFont"/>
    <w:uiPriority w:val="21"/>
    <w:qFormat/>
    <w:rsid w:val="005E2636"/>
    <w:rPr>
      <w:i/>
      <w:iCs/>
      <w:color w:val="0F4761" w:themeColor="accent1" w:themeShade="BF"/>
    </w:rPr>
  </w:style>
  <w:style w:type="paragraph" w:styleId="IntenseQuote">
    <w:name w:val="Intense Quote"/>
    <w:basedOn w:val="Normal"/>
    <w:next w:val="Normal"/>
    <w:link w:val="IntenseQuoteChar"/>
    <w:uiPriority w:val="30"/>
    <w:qFormat/>
    <w:rsid w:val="005E26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636"/>
    <w:rPr>
      <w:i/>
      <w:iCs/>
      <w:color w:val="0F4761" w:themeColor="accent1" w:themeShade="BF"/>
    </w:rPr>
  </w:style>
  <w:style w:type="character" w:styleId="IntenseReference">
    <w:name w:val="Intense Reference"/>
    <w:basedOn w:val="DefaultParagraphFont"/>
    <w:uiPriority w:val="32"/>
    <w:qFormat/>
    <w:rsid w:val="005E2636"/>
    <w:rPr>
      <w:b/>
      <w:bCs/>
      <w:smallCaps/>
      <w:color w:val="0F4761" w:themeColor="accent1" w:themeShade="BF"/>
      <w:spacing w:val="5"/>
    </w:rPr>
  </w:style>
  <w:style w:type="paragraph" w:styleId="NormalWeb">
    <w:name w:val="Normal (Web)"/>
    <w:basedOn w:val="Normal"/>
    <w:uiPriority w:val="99"/>
    <w:semiHidden/>
    <w:unhideWhenUsed/>
    <w:rsid w:val="007777B0"/>
    <w:pPr>
      <w:spacing w:before="100" w:beforeAutospacing="1" w:after="100" w:afterAutospacing="1" w:line="240" w:lineRule="auto"/>
    </w:pPr>
    <w:rPr>
      <w:rFonts w:ascii="Times New Roman" w:hAnsi="Times New Roman"/>
      <w:lang w:eastAsia="en-CA"/>
    </w:rPr>
  </w:style>
  <w:style w:type="character" w:styleId="Hyperlink">
    <w:name w:val="Hyperlink"/>
    <w:basedOn w:val="DefaultParagraphFont"/>
    <w:uiPriority w:val="99"/>
    <w:unhideWhenUsed/>
    <w:rsid w:val="6A0D869D"/>
    <w:rPr>
      <w:color w:val="467886"/>
      <w:u w:val="single"/>
    </w:rPr>
  </w:style>
  <w:style w:type="paragraph" w:styleId="TOC1">
    <w:name w:val="toc 1"/>
    <w:basedOn w:val="APAReference"/>
    <w:next w:val="Normal"/>
    <w:link w:val="TOC1Char"/>
    <w:autoRedefine/>
    <w:uiPriority w:val="39"/>
    <w:unhideWhenUsed/>
    <w:rsid w:val="009D2226"/>
    <w:pPr>
      <w:spacing w:after="100"/>
    </w:pPr>
    <w:rPr>
      <w:b/>
    </w:rPr>
  </w:style>
  <w:style w:type="paragraph" w:styleId="TOC2">
    <w:name w:val="toc 2"/>
    <w:basedOn w:val="Normal"/>
    <w:next w:val="Normal"/>
    <w:uiPriority w:val="39"/>
    <w:unhideWhenUsed/>
    <w:rsid w:val="6A0D869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56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F41"/>
  </w:style>
  <w:style w:type="paragraph" w:styleId="Footer">
    <w:name w:val="footer"/>
    <w:basedOn w:val="Normal"/>
    <w:link w:val="FooterChar"/>
    <w:uiPriority w:val="99"/>
    <w:unhideWhenUsed/>
    <w:rsid w:val="00C56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F41"/>
  </w:style>
  <w:style w:type="paragraph" w:styleId="Caption">
    <w:name w:val="caption"/>
    <w:basedOn w:val="Normal"/>
    <w:next w:val="Normal"/>
    <w:autoRedefine/>
    <w:uiPriority w:val="35"/>
    <w:unhideWhenUsed/>
    <w:qFormat/>
    <w:rsid w:val="004A57D2"/>
    <w:pPr>
      <w:spacing w:after="200"/>
    </w:pPr>
    <w:rPr>
      <w:b/>
      <w:i/>
      <w:iCs/>
      <w:szCs w:val="18"/>
    </w:rPr>
  </w:style>
  <w:style w:type="paragraph" w:styleId="TableofFigures">
    <w:name w:val="table of figures"/>
    <w:basedOn w:val="Normal"/>
    <w:next w:val="Normal"/>
    <w:autoRedefine/>
    <w:uiPriority w:val="99"/>
    <w:unhideWhenUsed/>
    <w:rsid w:val="00E95A47"/>
    <w:pPr>
      <w:tabs>
        <w:tab w:val="right" w:leader="dot" w:pos="9350"/>
      </w:tabs>
      <w:spacing w:after="0"/>
      <w:ind w:left="720" w:hanging="720"/>
    </w:pPr>
    <w:rPr>
      <w:b/>
    </w:rPr>
  </w:style>
  <w:style w:type="paragraph" w:customStyle="1" w:styleId="APAReference">
    <w:name w:val="APA Reference"/>
    <w:basedOn w:val="Normal"/>
    <w:link w:val="APAReferenceChar"/>
    <w:autoRedefine/>
    <w:qFormat/>
    <w:rsid w:val="002E691D"/>
    <w:pPr>
      <w:spacing w:after="0"/>
      <w:ind w:left="720" w:hanging="720"/>
    </w:pPr>
    <w:rPr>
      <w:lang w:eastAsia="en-CA"/>
    </w:rPr>
  </w:style>
  <w:style w:type="character" w:customStyle="1" w:styleId="APAReferenceChar">
    <w:name w:val="APA Reference Char"/>
    <w:basedOn w:val="DefaultParagraphFont"/>
    <w:link w:val="APAReference"/>
    <w:rsid w:val="002E691D"/>
    <w:rPr>
      <w:rFonts w:ascii="Verdana" w:eastAsia="Times New Roman" w:hAnsi="Verdana" w:cs="Times New Roman"/>
      <w:sz w:val="24"/>
      <w:szCs w:val="24"/>
      <w:lang w:eastAsia="en-CA"/>
    </w:rPr>
  </w:style>
  <w:style w:type="paragraph" w:styleId="NoSpacing">
    <w:name w:val="No Spacing"/>
    <w:uiPriority w:val="1"/>
    <w:qFormat/>
    <w:rsid w:val="006066BD"/>
    <w:pPr>
      <w:spacing w:after="0" w:line="240" w:lineRule="auto"/>
      <w:ind w:firstLine="540"/>
    </w:pPr>
    <w:rPr>
      <w:rFonts w:eastAsia="Times New Roman" w:cs="Times New Roman"/>
      <w:sz w:val="28"/>
      <w:szCs w:val="28"/>
    </w:rPr>
  </w:style>
  <w:style w:type="table" w:styleId="GridTable4">
    <w:name w:val="Grid Table 4"/>
    <w:basedOn w:val="TableNormal"/>
    <w:uiPriority w:val="49"/>
    <w:rsid w:val="003913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913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3913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3">
    <w:name w:val="toc 3"/>
    <w:basedOn w:val="Normal"/>
    <w:next w:val="Normal"/>
    <w:autoRedefine/>
    <w:uiPriority w:val="39"/>
    <w:unhideWhenUsed/>
    <w:rsid w:val="00C45EFD"/>
    <w:pPr>
      <w:spacing w:after="100"/>
      <w:ind w:left="560"/>
    </w:pPr>
  </w:style>
  <w:style w:type="paragraph" w:styleId="TOC4">
    <w:name w:val="toc 4"/>
    <w:basedOn w:val="Normal"/>
    <w:next w:val="Normal"/>
    <w:autoRedefine/>
    <w:uiPriority w:val="39"/>
    <w:unhideWhenUsed/>
    <w:rsid w:val="00C45EFD"/>
    <w:pPr>
      <w:spacing w:after="100"/>
      <w:ind w:left="840"/>
    </w:pPr>
  </w:style>
  <w:style w:type="character" w:styleId="UnresolvedMention">
    <w:name w:val="Unresolved Mention"/>
    <w:basedOn w:val="DefaultParagraphFont"/>
    <w:uiPriority w:val="99"/>
    <w:semiHidden/>
    <w:unhideWhenUsed/>
    <w:rsid w:val="00B718E1"/>
    <w:rPr>
      <w:color w:val="605E5C"/>
      <w:shd w:val="clear" w:color="auto" w:fill="E1DFDD"/>
    </w:rPr>
  </w:style>
  <w:style w:type="character" w:styleId="FollowedHyperlink">
    <w:name w:val="FollowedHyperlink"/>
    <w:basedOn w:val="DefaultParagraphFont"/>
    <w:uiPriority w:val="99"/>
    <w:semiHidden/>
    <w:unhideWhenUsed/>
    <w:rsid w:val="0043287B"/>
    <w:rPr>
      <w:color w:val="96607D" w:themeColor="followedHyperlink"/>
      <w:u w:val="single"/>
    </w:rPr>
  </w:style>
  <w:style w:type="character" w:styleId="Emphasis">
    <w:name w:val="Emphasis"/>
    <w:basedOn w:val="DefaultParagraphFont"/>
    <w:uiPriority w:val="20"/>
    <w:qFormat/>
    <w:rsid w:val="00B00300"/>
    <w:rPr>
      <w:i/>
      <w:iCs/>
    </w:rPr>
  </w:style>
  <w:style w:type="table" w:styleId="PlainTable2">
    <w:name w:val="Plain Table 2"/>
    <w:basedOn w:val="TableNormal"/>
    <w:uiPriority w:val="42"/>
    <w:rsid w:val="008872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872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F6670"/>
    <w:rPr>
      <w:b/>
      <w:bCs/>
    </w:rPr>
  </w:style>
  <w:style w:type="paragraph" w:styleId="TOC5">
    <w:name w:val="toc 5"/>
    <w:basedOn w:val="Normal"/>
    <w:next w:val="Normal"/>
    <w:autoRedefine/>
    <w:uiPriority w:val="39"/>
    <w:unhideWhenUsed/>
    <w:rsid w:val="00BB2FEE"/>
    <w:pPr>
      <w:spacing w:after="100" w:line="278" w:lineRule="auto"/>
      <w:ind w:left="960" w:firstLine="0"/>
    </w:pPr>
    <w:rPr>
      <w:rFonts w:eastAsiaTheme="minorEastAsia" w:cstheme="minorBidi"/>
      <w:lang w:eastAsia="en-CA"/>
    </w:rPr>
  </w:style>
  <w:style w:type="paragraph" w:styleId="TOC6">
    <w:name w:val="toc 6"/>
    <w:basedOn w:val="Normal"/>
    <w:next w:val="Normal"/>
    <w:autoRedefine/>
    <w:uiPriority w:val="39"/>
    <w:unhideWhenUsed/>
    <w:rsid w:val="00BB2FEE"/>
    <w:pPr>
      <w:spacing w:after="100" w:line="278" w:lineRule="auto"/>
      <w:ind w:left="1200" w:firstLine="0"/>
    </w:pPr>
    <w:rPr>
      <w:rFonts w:eastAsiaTheme="minorEastAsia" w:cstheme="minorBidi"/>
      <w:lang w:eastAsia="en-CA"/>
    </w:rPr>
  </w:style>
  <w:style w:type="paragraph" w:styleId="TOC7">
    <w:name w:val="toc 7"/>
    <w:basedOn w:val="Normal"/>
    <w:next w:val="Normal"/>
    <w:autoRedefine/>
    <w:uiPriority w:val="39"/>
    <w:unhideWhenUsed/>
    <w:rsid w:val="00BB2FEE"/>
    <w:pPr>
      <w:spacing w:after="100" w:line="278" w:lineRule="auto"/>
      <w:ind w:left="1440" w:firstLine="0"/>
    </w:pPr>
    <w:rPr>
      <w:rFonts w:eastAsiaTheme="minorEastAsia" w:cstheme="minorBidi"/>
      <w:lang w:eastAsia="en-CA"/>
    </w:rPr>
  </w:style>
  <w:style w:type="paragraph" w:styleId="TOC8">
    <w:name w:val="toc 8"/>
    <w:basedOn w:val="Normal"/>
    <w:next w:val="Normal"/>
    <w:autoRedefine/>
    <w:uiPriority w:val="39"/>
    <w:unhideWhenUsed/>
    <w:rsid w:val="00BB2FEE"/>
    <w:pPr>
      <w:spacing w:after="100" w:line="278" w:lineRule="auto"/>
      <w:ind w:left="1680" w:firstLine="0"/>
    </w:pPr>
    <w:rPr>
      <w:rFonts w:eastAsiaTheme="minorEastAsia" w:cstheme="minorBidi"/>
      <w:lang w:eastAsia="en-CA"/>
    </w:rPr>
  </w:style>
  <w:style w:type="paragraph" w:styleId="TOC9">
    <w:name w:val="toc 9"/>
    <w:basedOn w:val="Normal"/>
    <w:next w:val="Normal"/>
    <w:autoRedefine/>
    <w:uiPriority w:val="39"/>
    <w:unhideWhenUsed/>
    <w:rsid w:val="00BB2FEE"/>
    <w:pPr>
      <w:spacing w:after="100" w:line="278" w:lineRule="auto"/>
      <w:ind w:left="1920" w:firstLine="0"/>
    </w:pPr>
    <w:rPr>
      <w:rFonts w:eastAsiaTheme="minorEastAsia" w:cstheme="minorBidi"/>
      <w:lang w:eastAsia="en-CA"/>
    </w:rPr>
  </w:style>
  <w:style w:type="table" w:styleId="PlainTable3">
    <w:name w:val="Plain Table 3"/>
    <w:basedOn w:val="TableNormal"/>
    <w:uiPriority w:val="43"/>
    <w:rsid w:val="007858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858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463568"/>
    <w:pPr>
      <w:spacing w:before="240" w:beforeAutospacing="0" w:after="0" w:line="259" w:lineRule="auto"/>
      <w:outlineLvl w:val="9"/>
    </w:pPr>
    <w:rPr>
      <w:rFonts w:asciiTheme="majorHAnsi" w:hAnsiTheme="majorHAnsi"/>
      <w:b w:val="0"/>
      <w:bCs w:val="0"/>
      <w:color w:val="0F4761" w:themeColor="accent1" w:themeShade="BF"/>
      <w:kern w:val="0"/>
      <w:sz w:val="32"/>
      <w:szCs w:val="32"/>
      <w:lang w:val="en-US"/>
      <w14:ligatures w14:val="none"/>
    </w:rPr>
  </w:style>
  <w:style w:type="paragraph" w:customStyle="1" w:styleId="Paragraph">
    <w:name w:val="Paragraph"/>
    <w:qFormat/>
    <w:rsid w:val="00DA7CD6"/>
    <w:pPr>
      <w:spacing w:after="180" w:line="360" w:lineRule="auto"/>
      <w:ind w:firstLine="475"/>
    </w:pPr>
    <w:rPr>
      <w:rFonts w:ascii="Verdana" w:eastAsia="Verdana" w:hAnsi="Verdana" w:cs="Verdana"/>
      <w:kern w:val="0"/>
      <w:sz w:val="24"/>
      <w:lang w:val="en-US"/>
      <w14:ligatures w14:val="none"/>
    </w:rPr>
  </w:style>
  <w:style w:type="character" w:customStyle="1" w:styleId="TOC1Char">
    <w:name w:val="TOC 1 Char"/>
    <w:basedOn w:val="APAReferenceChar"/>
    <w:link w:val="TOC1"/>
    <w:uiPriority w:val="39"/>
    <w:rsid w:val="0016196F"/>
    <w:rPr>
      <w:rFonts w:ascii="Verdana" w:eastAsia="Times New Roman" w:hAnsi="Verdana" w:cs="Times New Roman"/>
      <w:b/>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989525">
      <w:marLeft w:val="0"/>
      <w:marRight w:val="0"/>
      <w:marTop w:val="0"/>
      <w:marBottom w:val="0"/>
      <w:divBdr>
        <w:top w:val="none" w:sz="0" w:space="0" w:color="auto"/>
        <w:left w:val="none" w:sz="0" w:space="0" w:color="auto"/>
        <w:bottom w:val="none" w:sz="0" w:space="0" w:color="auto"/>
        <w:right w:val="none" w:sz="0" w:space="0" w:color="auto"/>
      </w:divBdr>
    </w:div>
    <w:div w:id="15053197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390/ani13172751" TargetMode="External"/><Relationship Id="rId18" Type="http://schemas.openxmlformats.org/officeDocument/2006/relationships/hyperlink" Target="https://www.afb.org/research-and-initiatives/research/role-guide-dogs-2022-and-beyon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laws-lois.justice.gc.ca/eng/acts/A-0.6/" TargetMode="External"/><Relationship Id="rId17" Type="http://schemas.openxmlformats.org/officeDocument/2006/relationships/hyperlink" Target="https://doi.org/10.3390/su13052840" TargetMode="External"/><Relationship Id="rId2" Type="http://schemas.openxmlformats.org/officeDocument/2006/relationships/numbering" Target="numbering.xml"/><Relationship Id="rId16" Type="http://schemas.openxmlformats.org/officeDocument/2006/relationships/hyperlink" Target="https://doi.org/10.1371/journal.pone.0313864" TargetMode="External"/><Relationship Id="rId20" Type="http://schemas.openxmlformats.org/officeDocument/2006/relationships/hyperlink" Target="https://doi.org/10.1016/j.dhjo.2020.1009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07/s10926-021-09980-9" TargetMode="External"/><Relationship Id="rId23" Type="http://schemas.openxmlformats.org/officeDocument/2006/relationships/fontTable" Target="fontTable.xml"/><Relationship Id="rId10" Type="http://schemas.openxmlformats.org/officeDocument/2006/relationships/image" Target="cid:7f82f05c-01c8-485b-abd8-3dfd4779b83a@CANPRD01.PROD.OUTLOOK.COM" TargetMode="External"/><Relationship Id="rId19" Type="http://schemas.openxmlformats.org/officeDocument/2006/relationships/hyperlink" Target="https://doi.org/10.1080/138823505909564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ni9050203"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F55C9-5457-4D57-9385-64B2C619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15206</Words>
  <Characters>93524</Characters>
  <Application>Microsoft Office Word</Application>
  <DocSecurity>8</DocSecurity>
  <Lines>2174</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Knot</dc:creator>
  <cp:keywords/>
  <dc:description/>
  <cp:lastModifiedBy>Josh Simpson</cp:lastModifiedBy>
  <cp:revision>6</cp:revision>
  <dcterms:created xsi:type="dcterms:W3CDTF">2026-04-30T02:44:00Z</dcterms:created>
  <dcterms:modified xsi:type="dcterms:W3CDTF">2026-06-15T17:55:00Z</dcterms:modified>
</cp:coreProperties>
</file>