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BE442" w14:textId="58E8F06F" w:rsidR="00DF4013" w:rsidRPr="00D7729A" w:rsidRDefault="00A55A5B" w:rsidP="00E04B98">
      <w:pPr>
        <w:pStyle w:val="Heading1"/>
        <w:ind w:firstLine="0"/>
      </w:pPr>
      <w:bookmarkStart w:id="0" w:name="_Toc225876188"/>
      <w:bookmarkStart w:id="1" w:name="_Toc669034839"/>
      <w:bookmarkStart w:id="2" w:name="_Toc1309167412"/>
      <w:bookmarkStart w:id="3" w:name="_Toc477189117"/>
      <w:bookmarkStart w:id="4" w:name="_Toc737621132"/>
      <w:bookmarkStart w:id="5" w:name="_Toc938459293"/>
      <w:bookmarkStart w:id="6" w:name="_Toc2109258401"/>
      <w:bookmarkStart w:id="7" w:name="_Toc2047763892"/>
      <w:bookmarkStart w:id="8" w:name="_Toc734643243"/>
      <w:bookmarkStart w:id="9" w:name="_Toc1731359893"/>
      <w:r>
        <w:rPr>
          <w:rFonts w:ascii="Stag Sans Book" w:hAnsi="Stag Sans Book"/>
          <w:noProof/>
          <w:sz w:val="28"/>
          <w:szCs w:val="28"/>
        </w:rPr>
        <w:drawing>
          <wp:anchor distT="0" distB="0" distL="114300" distR="114300" simplePos="0" relativeHeight="251658240" behindDoc="1" locked="0" layoutInCell="1" allowOverlap="1" wp14:anchorId="5CDAE514" wp14:editId="08F3D778">
            <wp:simplePos x="0" y="0"/>
            <wp:positionH relativeFrom="column">
              <wp:posOffset>-826770</wp:posOffset>
            </wp:positionH>
            <wp:positionV relativeFrom="paragraph">
              <wp:posOffset>1702435</wp:posOffset>
            </wp:positionV>
            <wp:extent cx="7871625" cy="5595258"/>
            <wp:effectExtent l="0" t="0" r="0"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871625" cy="5595258"/>
                    </a:xfrm>
                    <a:prstGeom prst="rect">
                      <a:avLst/>
                    </a:prstGeom>
                  </pic:spPr>
                </pic:pic>
              </a:graphicData>
            </a:graphic>
            <wp14:sizeRelH relativeFrom="margin">
              <wp14:pctWidth>0</wp14:pctWidth>
            </wp14:sizeRelH>
            <wp14:sizeRelV relativeFrom="margin">
              <wp14:pctHeight>0</wp14:pctHeight>
            </wp14:sizeRelV>
          </wp:anchor>
        </w:drawing>
      </w:r>
      <w:r w:rsidR="00DF4013" w:rsidRPr="00D7729A">
        <w:t>Condensed Report for Guide Dog Access Barriers in Canada</w:t>
      </w:r>
      <w:bookmarkEnd w:id="0"/>
    </w:p>
    <w:p w14:paraId="762D54F4" w14:textId="037920B8" w:rsidR="00D7729A" w:rsidRPr="00D7729A" w:rsidRDefault="0CD8EC59" w:rsidP="009515E4">
      <w:r>
        <w:rPr>
          <w:noProof/>
        </w:rPr>
        <w:drawing>
          <wp:inline distT="0" distB="0" distL="0" distR="0" wp14:anchorId="0ED3A43F" wp14:editId="60F04336">
            <wp:extent cx="3962400" cy="4438650"/>
            <wp:effectExtent l="0" t="0" r="0" b="0"/>
            <wp:docPr id="1518722249" name="drawing" descr="An image with a white background and yellow boarder.  With the title  &quot;Guide Dog  Access Barriers in Canada&quot;.  A Guide Dog handler is  holding a smart phone in one hand . With an AI App open the message reads ' I've been denied access to a transportation service because of my guide dog. What are my rights?&#10;A yellow labrador dog wearing a Guide Dog harness is laying down out of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22249" name="drawing" descr="An image with a white background and yellow boarder.  With the title  &quot;Guide Dog  Access Barriers in Canada&quot;.  A Guide Dog handler is  holding a smart phone in one hand . With an AI App open the message reads ' I've been denied access to a transportation service because of my guide dog. What are my rights?&#10;A yellow labrador dog wearing a Guide Dog harness is laying down out of focus."/>
                    <pic:cNvPicPr/>
                  </pic:nvPicPr>
                  <pic:blipFill>
                    <a:blip r:embed="rId9">
                      <a:extLst>
                        <a:ext uri="{28A0092B-C50C-407E-A947-70E740481C1C}">
                          <a14:useLocalDpi xmlns:a14="http://schemas.microsoft.com/office/drawing/2010/main"/>
                        </a:ext>
                      </a:extLst>
                    </a:blip>
                    <a:stretch>
                      <a:fillRect/>
                    </a:stretch>
                  </pic:blipFill>
                  <pic:spPr>
                    <a:xfrm>
                      <a:off x="0" y="0"/>
                      <a:ext cx="3962400" cy="4438650"/>
                    </a:xfrm>
                    <a:prstGeom prst="rect">
                      <a:avLst/>
                    </a:prstGeom>
                  </pic:spPr>
                </pic:pic>
              </a:graphicData>
            </a:graphic>
          </wp:inline>
        </w:drawing>
      </w:r>
    </w:p>
    <w:p w14:paraId="2F0D32E1" w14:textId="6FCDEBA4" w:rsidR="00DF4013" w:rsidRDefault="00DF4013" w:rsidP="009515E4">
      <w:pPr>
        <w:rPr>
          <w:rFonts w:eastAsiaTheme="majorEastAsia"/>
        </w:rPr>
      </w:pPr>
    </w:p>
    <w:p w14:paraId="46ACA785" w14:textId="43B3EA28" w:rsidR="00DF4013" w:rsidRPr="00F62ECB" w:rsidRDefault="0054142D" w:rsidP="009515E4">
      <w:pPr>
        <w:rPr>
          <w:rFonts w:asciiTheme="majorHAnsi" w:eastAsiaTheme="majorEastAsia" w:hAnsiTheme="majorHAnsi" w:cstheme="majorBidi"/>
          <w:b/>
          <w:bCs/>
          <w:color w:val="0F4761" w:themeColor="accent1" w:themeShade="BF"/>
          <w:sz w:val="40"/>
          <w:szCs w:val="40"/>
        </w:rPr>
      </w:pPr>
      <w:r w:rsidRPr="00F62ECB">
        <w:rPr>
          <w:b/>
          <w:bCs/>
        </w:rPr>
        <w:t xml:space="preserve">March </w:t>
      </w:r>
      <w:r w:rsidR="00F62ECB" w:rsidRPr="00F62ECB">
        <w:rPr>
          <w:b/>
          <w:bCs/>
        </w:rPr>
        <w:t>31, 2026</w:t>
      </w:r>
      <w:r w:rsidR="00DF4013" w:rsidRPr="00F62ECB">
        <w:rPr>
          <w:b/>
          <w:bCs/>
        </w:rPr>
        <w:br w:type="page"/>
      </w:r>
    </w:p>
    <w:p w14:paraId="3C182D47" w14:textId="77777777" w:rsidR="007777B0" w:rsidRDefault="28DB888F" w:rsidP="009515E4">
      <w:pPr>
        <w:pStyle w:val="Heading1"/>
        <w:rPr>
          <w:lang w:eastAsia="en-CA"/>
        </w:rPr>
      </w:pPr>
      <w:bookmarkStart w:id="10" w:name="_Toc225876189"/>
      <w:r>
        <w:t>Condensed Report for Guide Dog Access Barriers in Canada</w:t>
      </w:r>
      <w:bookmarkEnd w:id="1"/>
      <w:bookmarkEnd w:id="2"/>
      <w:bookmarkEnd w:id="3"/>
      <w:bookmarkEnd w:id="4"/>
      <w:bookmarkEnd w:id="5"/>
      <w:bookmarkEnd w:id="6"/>
      <w:bookmarkEnd w:id="7"/>
      <w:bookmarkEnd w:id="8"/>
      <w:bookmarkEnd w:id="9"/>
      <w:bookmarkEnd w:id="10"/>
    </w:p>
    <w:sdt>
      <w:sdtPr>
        <w:id w:val="1340323706"/>
        <w:docPartObj>
          <w:docPartGallery w:val="Table of Contents"/>
          <w:docPartUnique/>
        </w:docPartObj>
      </w:sdtPr>
      <w:sdtContent>
        <w:p w14:paraId="6C341F46" w14:textId="593468F2" w:rsidR="0040381B" w:rsidRDefault="6A0D869D">
          <w:pPr>
            <w:pStyle w:val="TOC1"/>
            <w:tabs>
              <w:tab w:val="right" w:leader="dot" w:pos="9350"/>
            </w:tabs>
            <w:rPr>
              <w:rFonts w:eastAsiaTheme="minorEastAsia" w:cstheme="minorBidi"/>
              <w:noProof/>
              <w:sz w:val="24"/>
              <w:szCs w:val="24"/>
              <w:lang w:eastAsia="en-CA"/>
            </w:rPr>
          </w:pPr>
          <w:r>
            <w:fldChar w:fldCharType="begin"/>
          </w:r>
          <w:r>
            <w:instrText>TOC \o \z \u \h</w:instrText>
          </w:r>
          <w:r>
            <w:fldChar w:fldCharType="separate"/>
          </w:r>
          <w:hyperlink w:anchor="_Toc225876188" w:history="1">
            <w:r w:rsidR="0040381B" w:rsidRPr="006723AF">
              <w:rPr>
                <w:rStyle w:val="Hyperlink"/>
                <w:noProof/>
              </w:rPr>
              <w:t>Condensed Report for Guide Dog Access Barriers in Canada</w:t>
            </w:r>
            <w:r w:rsidR="0040381B">
              <w:rPr>
                <w:noProof/>
                <w:webHidden/>
              </w:rPr>
              <w:tab/>
            </w:r>
            <w:r w:rsidR="0040381B">
              <w:rPr>
                <w:noProof/>
                <w:webHidden/>
              </w:rPr>
              <w:fldChar w:fldCharType="begin"/>
            </w:r>
            <w:r w:rsidR="0040381B">
              <w:rPr>
                <w:noProof/>
                <w:webHidden/>
              </w:rPr>
              <w:instrText xml:space="preserve"> PAGEREF _Toc225876188 \h </w:instrText>
            </w:r>
            <w:r w:rsidR="0040381B">
              <w:rPr>
                <w:noProof/>
                <w:webHidden/>
              </w:rPr>
            </w:r>
            <w:r w:rsidR="0040381B">
              <w:rPr>
                <w:noProof/>
                <w:webHidden/>
              </w:rPr>
              <w:fldChar w:fldCharType="separate"/>
            </w:r>
            <w:r w:rsidR="0040381B">
              <w:rPr>
                <w:noProof/>
                <w:webHidden/>
              </w:rPr>
              <w:t>1</w:t>
            </w:r>
            <w:r w:rsidR="0040381B">
              <w:rPr>
                <w:noProof/>
                <w:webHidden/>
              </w:rPr>
              <w:fldChar w:fldCharType="end"/>
            </w:r>
          </w:hyperlink>
        </w:p>
        <w:p w14:paraId="26A0B877" w14:textId="196AECB8" w:rsidR="0040381B" w:rsidRDefault="0040381B">
          <w:pPr>
            <w:pStyle w:val="TOC1"/>
            <w:tabs>
              <w:tab w:val="right" w:leader="dot" w:pos="9350"/>
            </w:tabs>
            <w:rPr>
              <w:rFonts w:eastAsiaTheme="minorEastAsia" w:cstheme="minorBidi"/>
              <w:noProof/>
              <w:sz w:val="24"/>
              <w:szCs w:val="24"/>
              <w:lang w:eastAsia="en-CA"/>
            </w:rPr>
          </w:pPr>
          <w:hyperlink w:anchor="_Toc225876189" w:history="1">
            <w:r w:rsidRPr="006723AF">
              <w:rPr>
                <w:rStyle w:val="Hyperlink"/>
                <w:noProof/>
              </w:rPr>
              <w:t>Condensed Report for Guide Dog Access Barriers in Canada</w:t>
            </w:r>
            <w:r>
              <w:rPr>
                <w:noProof/>
                <w:webHidden/>
              </w:rPr>
              <w:tab/>
            </w:r>
            <w:r>
              <w:rPr>
                <w:noProof/>
                <w:webHidden/>
              </w:rPr>
              <w:fldChar w:fldCharType="begin"/>
            </w:r>
            <w:r>
              <w:rPr>
                <w:noProof/>
                <w:webHidden/>
              </w:rPr>
              <w:instrText xml:space="preserve"> PAGEREF _Toc225876189 \h </w:instrText>
            </w:r>
            <w:r>
              <w:rPr>
                <w:noProof/>
                <w:webHidden/>
              </w:rPr>
            </w:r>
            <w:r>
              <w:rPr>
                <w:noProof/>
                <w:webHidden/>
              </w:rPr>
              <w:fldChar w:fldCharType="separate"/>
            </w:r>
            <w:r>
              <w:rPr>
                <w:noProof/>
                <w:webHidden/>
              </w:rPr>
              <w:t>2</w:t>
            </w:r>
            <w:r>
              <w:rPr>
                <w:noProof/>
                <w:webHidden/>
              </w:rPr>
              <w:fldChar w:fldCharType="end"/>
            </w:r>
          </w:hyperlink>
        </w:p>
        <w:p w14:paraId="7ED186C4" w14:textId="6DDA839D" w:rsidR="0040381B" w:rsidRDefault="0040381B">
          <w:pPr>
            <w:pStyle w:val="TOC1"/>
            <w:tabs>
              <w:tab w:val="right" w:leader="dot" w:pos="9350"/>
            </w:tabs>
            <w:rPr>
              <w:rFonts w:eastAsiaTheme="minorEastAsia" w:cstheme="minorBidi"/>
              <w:noProof/>
              <w:sz w:val="24"/>
              <w:szCs w:val="24"/>
              <w:lang w:eastAsia="en-CA"/>
            </w:rPr>
          </w:pPr>
          <w:hyperlink w:anchor="_Toc225876190" w:history="1">
            <w:r w:rsidRPr="006723AF">
              <w:rPr>
                <w:rStyle w:val="Hyperlink"/>
                <w:noProof/>
              </w:rPr>
              <w:t>Report content</w:t>
            </w:r>
            <w:r>
              <w:rPr>
                <w:noProof/>
                <w:webHidden/>
              </w:rPr>
              <w:tab/>
            </w:r>
            <w:r>
              <w:rPr>
                <w:noProof/>
                <w:webHidden/>
              </w:rPr>
              <w:fldChar w:fldCharType="begin"/>
            </w:r>
            <w:r>
              <w:rPr>
                <w:noProof/>
                <w:webHidden/>
              </w:rPr>
              <w:instrText xml:space="preserve"> PAGEREF _Toc225876190 \h </w:instrText>
            </w:r>
            <w:r>
              <w:rPr>
                <w:noProof/>
                <w:webHidden/>
              </w:rPr>
            </w:r>
            <w:r>
              <w:rPr>
                <w:noProof/>
                <w:webHidden/>
              </w:rPr>
              <w:fldChar w:fldCharType="separate"/>
            </w:r>
            <w:r>
              <w:rPr>
                <w:noProof/>
                <w:webHidden/>
              </w:rPr>
              <w:t>5</w:t>
            </w:r>
            <w:r>
              <w:rPr>
                <w:noProof/>
                <w:webHidden/>
              </w:rPr>
              <w:fldChar w:fldCharType="end"/>
            </w:r>
          </w:hyperlink>
        </w:p>
        <w:p w14:paraId="472C0FBA" w14:textId="2EDE9343" w:rsidR="0040381B" w:rsidRDefault="0040381B">
          <w:pPr>
            <w:pStyle w:val="TOC1"/>
            <w:tabs>
              <w:tab w:val="right" w:leader="dot" w:pos="9350"/>
            </w:tabs>
            <w:rPr>
              <w:rFonts w:eastAsiaTheme="minorEastAsia" w:cstheme="minorBidi"/>
              <w:noProof/>
              <w:sz w:val="24"/>
              <w:szCs w:val="24"/>
              <w:lang w:eastAsia="en-CA"/>
            </w:rPr>
          </w:pPr>
          <w:hyperlink w:anchor="_Toc225876191" w:history="1">
            <w:r w:rsidRPr="006723AF">
              <w:rPr>
                <w:rStyle w:val="Hyperlink"/>
                <w:noProof/>
              </w:rPr>
              <w:t>Funding acknowledgement</w:t>
            </w:r>
            <w:r>
              <w:rPr>
                <w:noProof/>
                <w:webHidden/>
              </w:rPr>
              <w:tab/>
            </w:r>
            <w:r>
              <w:rPr>
                <w:noProof/>
                <w:webHidden/>
              </w:rPr>
              <w:fldChar w:fldCharType="begin"/>
            </w:r>
            <w:r>
              <w:rPr>
                <w:noProof/>
                <w:webHidden/>
              </w:rPr>
              <w:instrText xml:space="preserve"> PAGEREF _Toc225876191 \h </w:instrText>
            </w:r>
            <w:r>
              <w:rPr>
                <w:noProof/>
                <w:webHidden/>
              </w:rPr>
            </w:r>
            <w:r>
              <w:rPr>
                <w:noProof/>
                <w:webHidden/>
              </w:rPr>
              <w:fldChar w:fldCharType="separate"/>
            </w:r>
            <w:r>
              <w:rPr>
                <w:noProof/>
                <w:webHidden/>
              </w:rPr>
              <w:t>6</w:t>
            </w:r>
            <w:r>
              <w:rPr>
                <w:noProof/>
                <w:webHidden/>
              </w:rPr>
              <w:fldChar w:fldCharType="end"/>
            </w:r>
          </w:hyperlink>
        </w:p>
        <w:p w14:paraId="00643C99" w14:textId="1F9FADC5" w:rsidR="0040381B" w:rsidRDefault="0040381B">
          <w:pPr>
            <w:pStyle w:val="TOC1"/>
            <w:tabs>
              <w:tab w:val="right" w:leader="dot" w:pos="9350"/>
            </w:tabs>
            <w:rPr>
              <w:rFonts w:eastAsiaTheme="minorEastAsia" w:cstheme="minorBidi"/>
              <w:noProof/>
              <w:sz w:val="24"/>
              <w:szCs w:val="24"/>
              <w:lang w:eastAsia="en-CA"/>
            </w:rPr>
          </w:pPr>
          <w:hyperlink w:anchor="_Toc225876192" w:history="1">
            <w:r w:rsidRPr="006723AF">
              <w:rPr>
                <w:rStyle w:val="Hyperlink"/>
                <w:noProof/>
              </w:rPr>
              <w:t>List of Tables</w:t>
            </w:r>
            <w:r>
              <w:rPr>
                <w:noProof/>
                <w:webHidden/>
              </w:rPr>
              <w:tab/>
            </w:r>
            <w:r>
              <w:rPr>
                <w:noProof/>
                <w:webHidden/>
              </w:rPr>
              <w:fldChar w:fldCharType="begin"/>
            </w:r>
            <w:r>
              <w:rPr>
                <w:noProof/>
                <w:webHidden/>
              </w:rPr>
              <w:instrText xml:space="preserve"> PAGEREF _Toc225876192 \h </w:instrText>
            </w:r>
            <w:r>
              <w:rPr>
                <w:noProof/>
                <w:webHidden/>
              </w:rPr>
            </w:r>
            <w:r>
              <w:rPr>
                <w:noProof/>
                <w:webHidden/>
              </w:rPr>
              <w:fldChar w:fldCharType="separate"/>
            </w:r>
            <w:r>
              <w:rPr>
                <w:noProof/>
                <w:webHidden/>
              </w:rPr>
              <w:t>7</w:t>
            </w:r>
            <w:r>
              <w:rPr>
                <w:noProof/>
                <w:webHidden/>
              </w:rPr>
              <w:fldChar w:fldCharType="end"/>
            </w:r>
          </w:hyperlink>
        </w:p>
        <w:p w14:paraId="20756DE2" w14:textId="0CB00B19" w:rsidR="0040381B" w:rsidRDefault="0040381B">
          <w:pPr>
            <w:pStyle w:val="TOC1"/>
            <w:tabs>
              <w:tab w:val="right" w:leader="dot" w:pos="9350"/>
            </w:tabs>
            <w:rPr>
              <w:rFonts w:eastAsiaTheme="minorEastAsia" w:cstheme="minorBidi"/>
              <w:noProof/>
              <w:sz w:val="24"/>
              <w:szCs w:val="24"/>
              <w:lang w:eastAsia="en-CA"/>
            </w:rPr>
          </w:pPr>
          <w:hyperlink w:anchor="_Toc225876193" w:history="1">
            <w:r w:rsidRPr="006723AF">
              <w:rPr>
                <w:rStyle w:val="Hyperlink"/>
                <w:noProof/>
              </w:rPr>
              <w:t>Executive Summary</w:t>
            </w:r>
            <w:r>
              <w:rPr>
                <w:noProof/>
                <w:webHidden/>
              </w:rPr>
              <w:tab/>
            </w:r>
            <w:r>
              <w:rPr>
                <w:noProof/>
                <w:webHidden/>
              </w:rPr>
              <w:fldChar w:fldCharType="begin"/>
            </w:r>
            <w:r>
              <w:rPr>
                <w:noProof/>
                <w:webHidden/>
              </w:rPr>
              <w:instrText xml:space="preserve"> PAGEREF _Toc225876193 \h </w:instrText>
            </w:r>
            <w:r>
              <w:rPr>
                <w:noProof/>
                <w:webHidden/>
              </w:rPr>
            </w:r>
            <w:r>
              <w:rPr>
                <w:noProof/>
                <w:webHidden/>
              </w:rPr>
              <w:fldChar w:fldCharType="separate"/>
            </w:r>
            <w:r>
              <w:rPr>
                <w:noProof/>
                <w:webHidden/>
              </w:rPr>
              <w:t>8</w:t>
            </w:r>
            <w:r>
              <w:rPr>
                <w:noProof/>
                <w:webHidden/>
              </w:rPr>
              <w:fldChar w:fldCharType="end"/>
            </w:r>
          </w:hyperlink>
        </w:p>
        <w:p w14:paraId="540548B3" w14:textId="02656363" w:rsidR="0040381B" w:rsidRDefault="0040381B">
          <w:pPr>
            <w:pStyle w:val="TOC1"/>
            <w:tabs>
              <w:tab w:val="right" w:leader="dot" w:pos="9350"/>
            </w:tabs>
            <w:rPr>
              <w:rFonts w:eastAsiaTheme="minorEastAsia" w:cstheme="minorBidi"/>
              <w:noProof/>
              <w:sz w:val="24"/>
              <w:szCs w:val="24"/>
              <w:lang w:eastAsia="en-CA"/>
            </w:rPr>
          </w:pPr>
          <w:hyperlink w:anchor="_Toc225876194" w:history="1">
            <w:r w:rsidRPr="006723AF">
              <w:rPr>
                <w:rStyle w:val="Hyperlink"/>
                <w:noProof/>
              </w:rPr>
              <w:t>1. Introduction</w:t>
            </w:r>
            <w:r>
              <w:rPr>
                <w:noProof/>
                <w:webHidden/>
              </w:rPr>
              <w:tab/>
            </w:r>
            <w:r>
              <w:rPr>
                <w:noProof/>
                <w:webHidden/>
              </w:rPr>
              <w:fldChar w:fldCharType="begin"/>
            </w:r>
            <w:r>
              <w:rPr>
                <w:noProof/>
                <w:webHidden/>
              </w:rPr>
              <w:instrText xml:space="preserve"> PAGEREF _Toc225876194 \h </w:instrText>
            </w:r>
            <w:r>
              <w:rPr>
                <w:noProof/>
                <w:webHidden/>
              </w:rPr>
            </w:r>
            <w:r>
              <w:rPr>
                <w:noProof/>
                <w:webHidden/>
              </w:rPr>
              <w:fldChar w:fldCharType="separate"/>
            </w:r>
            <w:r>
              <w:rPr>
                <w:noProof/>
                <w:webHidden/>
              </w:rPr>
              <w:t>11</w:t>
            </w:r>
            <w:r>
              <w:rPr>
                <w:noProof/>
                <w:webHidden/>
              </w:rPr>
              <w:fldChar w:fldCharType="end"/>
            </w:r>
          </w:hyperlink>
        </w:p>
        <w:p w14:paraId="69C2DBD5" w14:textId="228B07B6" w:rsidR="0040381B" w:rsidRDefault="0040381B">
          <w:pPr>
            <w:pStyle w:val="TOC2"/>
            <w:tabs>
              <w:tab w:val="right" w:leader="dot" w:pos="9350"/>
            </w:tabs>
            <w:rPr>
              <w:rFonts w:eastAsiaTheme="minorEastAsia" w:cstheme="minorBidi"/>
              <w:noProof/>
              <w:sz w:val="24"/>
              <w:szCs w:val="24"/>
              <w:lang w:eastAsia="en-CA"/>
            </w:rPr>
          </w:pPr>
          <w:hyperlink w:anchor="_Toc225876195" w:history="1">
            <w:r w:rsidRPr="006723AF">
              <w:rPr>
                <w:rStyle w:val="Hyperlink"/>
                <w:noProof/>
              </w:rPr>
              <w:t>1.1 Study aims and research questions</w:t>
            </w:r>
            <w:r>
              <w:rPr>
                <w:noProof/>
                <w:webHidden/>
              </w:rPr>
              <w:tab/>
            </w:r>
            <w:r>
              <w:rPr>
                <w:noProof/>
                <w:webHidden/>
              </w:rPr>
              <w:fldChar w:fldCharType="begin"/>
            </w:r>
            <w:r>
              <w:rPr>
                <w:noProof/>
                <w:webHidden/>
              </w:rPr>
              <w:instrText xml:space="preserve"> PAGEREF _Toc225876195 \h </w:instrText>
            </w:r>
            <w:r>
              <w:rPr>
                <w:noProof/>
                <w:webHidden/>
              </w:rPr>
            </w:r>
            <w:r>
              <w:rPr>
                <w:noProof/>
                <w:webHidden/>
              </w:rPr>
              <w:fldChar w:fldCharType="separate"/>
            </w:r>
            <w:r>
              <w:rPr>
                <w:noProof/>
                <w:webHidden/>
              </w:rPr>
              <w:t>11</w:t>
            </w:r>
            <w:r>
              <w:rPr>
                <w:noProof/>
                <w:webHidden/>
              </w:rPr>
              <w:fldChar w:fldCharType="end"/>
            </w:r>
          </w:hyperlink>
        </w:p>
        <w:p w14:paraId="73786E4A" w14:textId="662E372E" w:rsidR="0040381B" w:rsidRDefault="0040381B">
          <w:pPr>
            <w:pStyle w:val="TOC1"/>
            <w:tabs>
              <w:tab w:val="right" w:leader="dot" w:pos="9350"/>
            </w:tabs>
            <w:rPr>
              <w:rFonts w:eastAsiaTheme="minorEastAsia" w:cstheme="minorBidi"/>
              <w:noProof/>
              <w:sz w:val="24"/>
              <w:szCs w:val="24"/>
              <w:lang w:eastAsia="en-CA"/>
            </w:rPr>
          </w:pPr>
          <w:hyperlink w:anchor="_Toc225876196" w:history="1">
            <w:r w:rsidRPr="006723AF">
              <w:rPr>
                <w:rStyle w:val="Hyperlink"/>
                <w:noProof/>
              </w:rPr>
              <w:t>2. Background / Context</w:t>
            </w:r>
            <w:r>
              <w:rPr>
                <w:noProof/>
                <w:webHidden/>
              </w:rPr>
              <w:tab/>
            </w:r>
            <w:r>
              <w:rPr>
                <w:noProof/>
                <w:webHidden/>
              </w:rPr>
              <w:fldChar w:fldCharType="begin"/>
            </w:r>
            <w:r>
              <w:rPr>
                <w:noProof/>
                <w:webHidden/>
              </w:rPr>
              <w:instrText xml:space="preserve"> PAGEREF _Toc225876196 \h </w:instrText>
            </w:r>
            <w:r>
              <w:rPr>
                <w:noProof/>
                <w:webHidden/>
              </w:rPr>
            </w:r>
            <w:r>
              <w:rPr>
                <w:noProof/>
                <w:webHidden/>
              </w:rPr>
              <w:fldChar w:fldCharType="separate"/>
            </w:r>
            <w:r>
              <w:rPr>
                <w:noProof/>
                <w:webHidden/>
              </w:rPr>
              <w:t>14</w:t>
            </w:r>
            <w:r>
              <w:rPr>
                <w:noProof/>
                <w:webHidden/>
              </w:rPr>
              <w:fldChar w:fldCharType="end"/>
            </w:r>
          </w:hyperlink>
        </w:p>
        <w:p w14:paraId="6E2C0D02" w14:textId="423DBE32" w:rsidR="0040381B" w:rsidRDefault="0040381B">
          <w:pPr>
            <w:pStyle w:val="TOC1"/>
            <w:tabs>
              <w:tab w:val="right" w:leader="dot" w:pos="9350"/>
            </w:tabs>
            <w:rPr>
              <w:rFonts w:eastAsiaTheme="minorEastAsia" w:cstheme="minorBidi"/>
              <w:noProof/>
              <w:sz w:val="24"/>
              <w:szCs w:val="24"/>
              <w:lang w:eastAsia="en-CA"/>
            </w:rPr>
          </w:pPr>
          <w:hyperlink w:anchor="_Toc225876197" w:history="1">
            <w:r w:rsidRPr="006723AF">
              <w:rPr>
                <w:rStyle w:val="Hyperlink"/>
                <w:noProof/>
              </w:rPr>
              <w:t>3. Methods</w:t>
            </w:r>
            <w:r>
              <w:rPr>
                <w:noProof/>
                <w:webHidden/>
              </w:rPr>
              <w:tab/>
            </w:r>
            <w:r>
              <w:rPr>
                <w:noProof/>
                <w:webHidden/>
              </w:rPr>
              <w:fldChar w:fldCharType="begin"/>
            </w:r>
            <w:r>
              <w:rPr>
                <w:noProof/>
                <w:webHidden/>
              </w:rPr>
              <w:instrText xml:space="preserve"> PAGEREF _Toc225876197 \h </w:instrText>
            </w:r>
            <w:r>
              <w:rPr>
                <w:noProof/>
                <w:webHidden/>
              </w:rPr>
            </w:r>
            <w:r>
              <w:rPr>
                <w:noProof/>
                <w:webHidden/>
              </w:rPr>
              <w:fldChar w:fldCharType="separate"/>
            </w:r>
            <w:r>
              <w:rPr>
                <w:noProof/>
                <w:webHidden/>
              </w:rPr>
              <w:t>16</w:t>
            </w:r>
            <w:r>
              <w:rPr>
                <w:noProof/>
                <w:webHidden/>
              </w:rPr>
              <w:fldChar w:fldCharType="end"/>
            </w:r>
          </w:hyperlink>
        </w:p>
        <w:p w14:paraId="2AFBF6F2" w14:textId="4FDC8290" w:rsidR="0040381B" w:rsidRDefault="0040381B">
          <w:pPr>
            <w:pStyle w:val="TOC2"/>
            <w:tabs>
              <w:tab w:val="right" w:leader="dot" w:pos="9350"/>
            </w:tabs>
            <w:rPr>
              <w:rFonts w:eastAsiaTheme="minorEastAsia" w:cstheme="minorBidi"/>
              <w:noProof/>
              <w:sz w:val="24"/>
              <w:szCs w:val="24"/>
              <w:lang w:eastAsia="en-CA"/>
            </w:rPr>
          </w:pPr>
          <w:hyperlink w:anchor="_Toc225876198" w:history="1">
            <w:r w:rsidRPr="006723AF">
              <w:rPr>
                <w:rStyle w:val="Hyperlink"/>
                <w:noProof/>
              </w:rPr>
              <w:t>3.1 Study design</w:t>
            </w:r>
            <w:r>
              <w:rPr>
                <w:noProof/>
                <w:webHidden/>
              </w:rPr>
              <w:tab/>
            </w:r>
            <w:r>
              <w:rPr>
                <w:noProof/>
                <w:webHidden/>
              </w:rPr>
              <w:fldChar w:fldCharType="begin"/>
            </w:r>
            <w:r>
              <w:rPr>
                <w:noProof/>
                <w:webHidden/>
              </w:rPr>
              <w:instrText xml:space="preserve"> PAGEREF _Toc225876198 \h </w:instrText>
            </w:r>
            <w:r>
              <w:rPr>
                <w:noProof/>
                <w:webHidden/>
              </w:rPr>
            </w:r>
            <w:r>
              <w:rPr>
                <w:noProof/>
                <w:webHidden/>
              </w:rPr>
              <w:fldChar w:fldCharType="separate"/>
            </w:r>
            <w:r>
              <w:rPr>
                <w:noProof/>
                <w:webHidden/>
              </w:rPr>
              <w:t>16</w:t>
            </w:r>
            <w:r>
              <w:rPr>
                <w:noProof/>
                <w:webHidden/>
              </w:rPr>
              <w:fldChar w:fldCharType="end"/>
            </w:r>
          </w:hyperlink>
        </w:p>
        <w:p w14:paraId="1F3D6713" w14:textId="0F91E287" w:rsidR="0040381B" w:rsidRDefault="0040381B">
          <w:pPr>
            <w:pStyle w:val="TOC2"/>
            <w:tabs>
              <w:tab w:val="right" w:leader="dot" w:pos="9350"/>
            </w:tabs>
            <w:rPr>
              <w:rFonts w:eastAsiaTheme="minorEastAsia" w:cstheme="minorBidi"/>
              <w:noProof/>
              <w:sz w:val="24"/>
              <w:szCs w:val="24"/>
              <w:lang w:eastAsia="en-CA"/>
            </w:rPr>
          </w:pPr>
          <w:hyperlink w:anchor="_Toc225876199" w:history="1">
            <w:r w:rsidRPr="006723AF">
              <w:rPr>
                <w:rStyle w:val="Hyperlink"/>
                <w:noProof/>
              </w:rPr>
              <w:t>3.2 Data sources and participant</w:t>
            </w:r>
            <w:r>
              <w:rPr>
                <w:noProof/>
                <w:webHidden/>
              </w:rPr>
              <w:tab/>
            </w:r>
            <w:r>
              <w:rPr>
                <w:noProof/>
                <w:webHidden/>
              </w:rPr>
              <w:fldChar w:fldCharType="begin"/>
            </w:r>
            <w:r>
              <w:rPr>
                <w:noProof/>
                <w:webHidden/>
              </w:rPr>
              <w:instrText xml:space="preserve"> PAGEREF _Toc225876199 \h </w:instrText>
            </w:r>
            <w:r>
              <w:rPr>
                <w:noProof/>
                <w:webHidden/>
              </w:rPr>
            </w:r>
            <w:r>
              <w:rPr>
                <w:noProof/>
                <w:webHidden/>
              </w:rPr>
              <w:fldChar w:fldCharType="separate"/>
            </w:r>
            <w:r>
              <w:rPr>
                <w:noProof/>
                <w:webHidden/>
              </w:rPr>
              <w:t>16</w:t>
            </w:r>
            <w:r>
              <w:rPr>
                <w:noProof/>
                <w:webHidden/>
              </w:rPr>
              <w:fldChar w:fldCharType="end"/>
            </w:r>
          </w:hyperlink>
        </w:p>
        <w:p w14:paraId="11A8107B" w14:textId="63EC9234" w:rsidR="0040381B" w:rsidRDefault="0040381B">
          <w:pPr>
            <w:pStyle w:val="TOC2"/>
            <w:tabs>
              <w:tab w:val="right" w:leader="dot" w:pos="9350"/>
            </w:tabs>
            <w:rPr>
              <w:rFonts w:eastAsiaTheme="minorEastAsia" w:cstheme="minorBidi"/>
              <w:noProof/>
              <w:sz w:val="24"/>
              <w:szCs w:val="24"/>
              <w:lang w:eastAsia="en-CA"/>
            </w:rPr>
          </w:pPr>
          <w:hyperlink w:anchor="_Toc225876200" w:history="1">
            <w:r w:rsidRPr="006723AF">
              <w:rPr>
                <w:rStyle w:val="Hyperlink"/>
                <w:noProof/>
              </w:rPr>
              <w:t>3.3 Analysis approach</w:t>
            </w:r>
            <w:r>
              <w:rPr>
                <w:noProof/>
                <w:webHidden/>
              </w:rPr>
              <w:tab/>
            </w:r>
            <w:r>
              <w:rPr>
                <w:noProof/>
                <w:webHidden/>
              </w:rPr>
              <w:fldChar w:fldCharType="begin"/>
            </w:r>
            <w:r>
              <w:rPr>
                <w:noProof/>
                <w:webHidden/>
              </w:rPr>
              <w:instrText xml:space="preserve"> PAGEREF _Toc225876200 \h </w:instrText>
            </w:r>
            <w:r>
              <w:rPr>
                <w:noProof/>
                <w:webHidden/>
              </w:rPr>
            </w:r>
            <w:r>
              <w:rPr>
                <w:noProof/>
                <w:webHidden/>
              </w:rPr>
              <w:fldChar w:fldCharType="separate"/>
            </w:r>
            <w:r>
              <w:rPr>
                <w:noProof/>
                <w:webHidden/>
              </w:rPr>
              <w:t>22</w:t>
            </w:r>
            <w:r>
              <w:rPr>
                <w:noProof/>
                <w:webHidden/>
              </w:rPr>
              <w:fldChar w:fldCharType="end"/>
            </w:r>
          </w:hyperlink>
        </w:p>
        <w:p w14:paraId="778D0A95" w14:textId="0F438E2F" w:rsidR="0040381B" w:rsidRDefault="0040381B">
          <w:pPr>
            <w:pStyle w:val="TOC2"/>
            <w:tabs>
              <w:tab w:val="right" w:leader="dot" w:pos="9350"/>
            </w:tabs>
            <w:rPr>
              <w:rFonts w:eastAsiaTheme="minorEastAsia" w:cstheme="minorBidi"/>
              <w:noProof/>
              <w:sz w:val="24"/>
              <w:szCs w:val="24"/>
              <w:lang w:eastAsia="en-CA"/>
            </w:rPr>
          </w:pPr>
          <w:hyperlink w:anchor="_Toc225876201" w:history="1">
            <w:r w:rsidRPr="006723AF">
              <w:rPr>
                <w:rStyle w:val="Hyperlink"/>
                <w:noProof/>
              </w:rPr>
              <w:t>3.4 Measures and constructs</w:t>
            </w:r>
            <w:r>
              <w:rPr>
                <w:noProof/>
                <w:webHidden/>
              </w:rPr>
              <w:tab/>
            </w:r>
            <w:r>
              <w:rPr>
                <w:noProof/>
                <w:webHidden/>
              </w:rPr>
              <w:fldChar w:fldCharType="begin"/>
            </w:r>
            <w:r>
              <w:rPr>
                <w:noProof/>
                <w:webHidden/>
              </w:rPr>
              <w:instrText xml:space="preserve"> PAGEREF _Toc225876201 \h </w:instrText>
            </w:r>
            <w:r>
              <w:rPr>
                <w:noProof/>
                <w:webHidden/>
              </w:rPr>
            </w:r>
            <w:r>
              <w:rPr>
                <w:noProof/>
                <w:webHidden/>
              </w:rPr>
              <w:fldChar w:fldCharType="separate"/>
            </w:r>
            <w:r>
              <w:rPr>
                <w:noProof/>
                <w:webHidden/>
              </w:rPr>
              <w:t>23</w:t>
            </w:r>
            <w:r>
              <w:rPr>
                <w:noProof/>
                <w:webHidden/>
              </w:rPr>
              <w:fldChar w:fldCharType="end"/>
            </w:r>
          </w:hyperlink>
        </w:p>
        <w:p w14:paraId="78DBF667" w14:textId="2CB8DE87" w:rsidR="0040381B" w:rsidRDefault="0040381B">
          <w:pPr>
            <w:pStyle w:val="TOC1"/>
            <w:tabs>
              <w:tab w:val="right" w:leader="dot" w:pos="9350"/>
            </w:tabs>
            <w:rPr>
              <w:rFonts w:eastAsiaTheme="minorEastAsia" w:cstheme="minorBidi"/>
              <w:noProof/>
              <w:sz w:val="24"/>
              <w:szCs w:val="24"/>
              <w:lang w:eastAsia="en-CA"/>
            </w:rPr>
          </w:pPr>
          <w:hyperlink w:anchor="_Toc225876202" w:history="1">
            <w:r w:rsidRPr="006723AF">
              <w:rPr>
                <w:rStyle w:val="Hyperlink"/>
                <w:noProof/>
              </w:rPr>
              <w:t>4. Results</w:t>
            </w:r>
            <w:r>
              <w:rPr>
                <w:noProof/>
                <w:webHidden/>
              </w:rPr>
              <w:tab/>
            </w:r>
            <w:r>
              <w:rPr>
                <w:noProof/>
                <w:webHidden/>
              </w:rPr>
              <w:fldChar w:fldCharType="begin"/>
            </w:r>
            <w:r>
              <w:rPr>
                <w:noProof/>
                <w:webHidden/>
              </w:rPr>
              <w:instrText xml:space="preserve"> PAGEREF _Toc225876202 \h </w:instrText>
            </w:r>
            <w:r>
              <w:rPr>
                <w:noProof/>
                <w:webHidden/>
              </w:rPr>
            </w:r>
            <w:r>
              <w:rPr>
                <w:noProof/>
                <w:webHidden/>
              </w:rPr>
              <w:fldChar w:fldCharType="separate"/>
            </w:r>
            <w:r>
              <w:rPr>
                <w:noProof/>
                <w:webHidden/>
              </w:rPr>
              <w:t>25</w:t>
            </w:r>
            <w:r>
              <w:rPr>
                <w:noProof/>
                <w:webHidden/>
              </w:rPr>
              <w:fldChar w:fldCharType="end"/>
            </w:r>
          </w:hyperlink>
        </w:p>
        <w:p w14:paraId="2988CC6C" w14:textId="16578E65" w:rsidR="0040381B" w:rsidRDefault="0040381B">
          <w:pPr>
            <w:pStyle w:val="TOC2"/>
            <w:tabs>
              <w:tab w:val="right" w:leader="dot" w:pos="9350"/>
            </w:tabs>
            <w:rPr>
              <w:rFonts w:eastAsiaTheme="minorEastAsia" w:cstheme="minorBidi"/>
              <w:noProof/>
              <w:sz w:val="24"/>
              <w:szCs w:val="24"/>
              <w:lang w:eastAsia="en-CA"/>
            </w:rPr>
          </w:pPr>
          <w:hyperlink w:anchor="_Toc225876203" w:history="1">
            <w:r w:rsidRPr="006723AF">
              <w:rPr>
                <w:rStyle w:val="Hyperlink"/>
                <w:noProof/>
              </w:rPr>
              <w:t>4.1 Results I — Prevalence and patterns of access barriers (Guide Dog Handlers Experiences Survey)</w:t>
            </w:r>
            <w:r>
              <w:rPr>
                <w:noProof/>
                <w:webHidden/>
              </w:rPr>
              <w:tab/>
            </w:r>
            <w:r>
              <w:rPr>
                <w:noProof/>
                <w:webHidden/>
              </w:rPr>
              <w:fldChar w:fldCharType="begin"/>
            </w:r>
            <w:r>
              <w:rPr>
                <w:noProof/>
                <w:webHidden/>
              </w:rPr>
              <w:instrText xml:space="preserve"> PAGEREF _Toc225876203 \h </w:instrText>
            </w:r>
            <w:r>
              <w:rPr>
                <w:noProof/>
                <w:webHidden/>
              </w:rPr>
            </w:r>
            <w:r>
              <w:rPr>
                <w:noProof/>
                <w:webHidden/>
              </w:rPr>
              <w:fldChar w:fldCharType="separate"/>
            </w:r>
            <w:r>
              <w:rPr>
                <w:noProof/>
                <w:webHidden/>
              </w:rPr>
              <w:t>26</w:t>
            </w:r>
            <w:r>
              <w:rPr>
                <w:noProof/>
                <w:webHidden/>
              </w:rPr>
              <w:fldChar w:fldCharType="end"/>
            </w:r>
          </w:hyperlink>
        </w:p>
        <w:p w14:paraId="00172095" w14:textId="36D05C10" w:rsidR="0040381B" w:rsidRDefault="0040381B">
          <w:pPr>
            <w:pStyle w:val="TOC2"/>
            <w:tabs>
              <w:tab w:val="right" w:leader="dot" w:pos="9350"/>
            </w:tabs>
            <w:rPr>
              <w:rFonts w:eastAsiaTheme="minorEastAsia" w:cstheme="minorBidi"/>
              <w:noProof/>
              <w:sz w:val="24"/>
              <w:szCs w:val="24"/>
              <w:lang w:eastAsia="en-CA"/>
            </w:rPr>
          </w:pPr>
          <w:hyperlink w:anchor="_Toc225876204" w:history="1">
            <w:r w:rsidRPr="006723AF">
              <w:rPr>
                <w:rStyle w:val="Hyperlink"/>
                <w:noProof/>
              </w:rPr>
              <w:t>4.2 Results II — Lived experience and mechanisms (qualitative themes)</w:t>
            </w:r>
            <w:r>
              <w:rPr>
                <w:noProof/>
                <w:webHidden/>
              </w:rPr>
              <w:tab/>
            </w:r>
            <w:r>
              <w:rPr>
                <w:noProof/>
                <w:webHidden/>
              </w:rPr>
              <w:fldChar w:fldCharType="begin"/>
            </w:r>
            <w:r>
              <w:rPr>
                <w:noProof/>
                <w:webHidden/>
              </w:rPr>
              <w:instrText xml:space="preserve"> PAGEREF _Toc225876204 \h </w:instrText>
            </w:r>
            <w:r>
              <w:rPr>
                <w:noProof/>
                <w:webHidden/>
              </w:rPr>
            </w:r>
            <w:r>
              <w:rPr>
                <w:noProof/>
                <w:webHidden/>
              </w:rPr>
              <w:fldChar w:fldCharType="separate"/>
            </w:r>
            <w:r>
              <w:rPr>
                <w:noProof/>
                <w:webHidden/>
              </w:rPr>
              <w:t>34</w:t>
            </w:r>
            <w:r>
              <w:rPr>
                <w:noProof/>
                <w:webHidden/>
              </w:rPr>
              <w:fldChar w:fldCharType="end"/>
            </w:r>
          </w:hyperlink>
        </w:p>
        <w:p w14:paraId="1249A356" w14:textId="308BC583" w:rsidR="0040381B" w:rsidRDefault="0040381B">
          <w:pPr>
            <w:pStyle w:val="TOC2"/>
            <w:tabs>
              <w:tab w:val="right" w:leader="dot" w:pos="9350"/>
            </w:tabs>
            <w:rPr>
              <w:rFonts w:eastAsiaTheme="minorEastAsia" w:cstheme="minorBidi"/>
              <w:noProof/>
              <w:sz w:val="24"/>
              <w:szCs w:val="24"/>
              <w:lang w:eastAsia="en-CA"/>
            </w:rPr>
          </w:pPr>
          <w:hyperlink w:anchor="_Toc225876205" w:history="1">
            <w:r w:rsidRPr="006723AF">
              <w:rPr>
                <w:rStyle w:val="Hyperlink"/>
                <w:noProof/>
              </w:rPr>
              <w:t>4.3 Results III — Policy and systems landscape (jurisdictional review synthesis)</w:t>
            </w:r>
            <w:r>
              <w:rPr>
                <w:noProof/>
                <w:webHidden/>
              </w:rPr>
              <w:tab/>
            </w:r>
            <w:r>
              <w:rPr>
                <w:noProof/>
                <w:webHidden/>
              </w:rPr>
              <w:fldChar w:fldCharType="begin"/>
            </w:r>
            <w:r>
              <w:rPr>
                <w:noProof/>
                <w:webHidden/>
              </w:rPr>
              <w:instrText xml:space="preserve"> PAGEREF _Toc225876205 \h </w:instrText>
            </w:r>
            <w:r>
              <w:rPr>
                <w:noProof/>
                <w:webHidden/>
              </w:rPr>
            </w:r>
            <w:r>
              <w:rPr>
                <w:noProof/>
                <w:webHidden/>
              </w:rPr>
              <w:fldChar w:fldCharType="separate"/>
            </w:r>
            <w:r>
              <w:rPr>
                <w:noProof/>
                <w:webHidden/>
              </w:rPr>
              <w:t>36</w:t>
            </w:r>
            <w:r>
              <w:rPr>
                <w:noProof/>
                <w:webHidden/>
              </w:rPr>
              <w:fldChar w:fldCharType="end"/>
            </w:r>
          </w:hyperlink>
        </w:p>
        <w:p w14:paraId="2E0BDE5B" w14:textId="0D8F1559" w:rsidR="0040381B" w:rsidRDefault="0040381B">
          <w:pPr>
            <w:pStyle w:val="TOC2"/>
            <w:tabs>
              <w:tab w:val="right" w:leader="dot" w:pos="9350"/>
            </w:tabs>
            <w:rPr>
              <w:rFonts w:eastAsiaTheme="minorEastAsia" w:cstheme="minorBidi"/>
              <w:noProof/>
              <w:sz w:val="24"/>
              <w:szCs w:val="24"/>
              <w:lang w:eastAsia="en-CA"/>
            </w:rPr>
          </w:pPr>
          <w:hyperlink w:anchor="_Toc225876206" w:history="1">
            <w:r w:rsidRPr="006723AF">
              <w:rPr>
                <w:rStyle w:val="Hyperlink"/>
                <w:noProof/>
              </w:rPr>
              <w:t>4.4 Results IV — Public attitudes (Ipsos Reid)</w:t>
            </w:r>
            <w:r>
              <w:rPr>
                <w:noProof/>
                <w:webHidden/>
              </w:rPr>
              <w:tab/>
            </w:r>
            <w:r>
              <w:rPr>
                <w:noProof/>
                <w:webHidden/>
              </w:rPr>
              <w:fldChar w:fldCharType="begin"/>
            </w:r>
            <w:r>
              <w:rPr>
                <w:noProof/>
                <w:webHidden/>
              </w:rPr>
              <w:instrText xml:space="preserve"> PAGEREF _Toc225876206 \h </w:instrText>
            </w:r>
            <w:r>
              <w:rPr>
                <w:noProof/>
                <w:webHidden/>
              </w:rPr>
            </w:r>
            <w:r>
              <w:rPr>
                <w:noProof/>
                <w:webHidden/>
              </w:rPr>
              <w:fldChar w:fldCharType="separate"/>
            </w:r>
            <w:r>
              <w:rPr>
                <w:noProof/>
                <w:webHidden/>
              </w:rPr>
              <w:t>40</w:t>
            </w:r>
            <w:r>
              <w:rPr>
                <w:noProof/>
                <w:webHidden/>
              </w:rPr>
              <w:fldChar w:fldCharType="end"/>
            </w:r>
          </w:hyperlink>
        </w:p>
        <w:p w14:paraId="185E0E77" w14:textId="45848537" w:rsidR="0040381B" w:rsidRDefault="0040381B">
          <w:pPr>
            <w:pStyle w:val="TOC1"/>
            <w:tabs>
              <w:tab w:val="right" w:leader="dot" w:pos="9350"/>
            </w:tabs>
            <w:rPr>
              <w:rFonts w:eastAsiaTheme="minorEastAsia" w:cstheme="minorBidi"/>
              <w:noProof/>
              <w:sz w:val="24"/>
              <w:szCs w:val="24"/>
              <w:lang w:eastAsia="en-CA"/>
            </w:rPr>
          </w:pPr>
          <w:hyperlink w:anchor="_Toc225876207" w:history="1">
            <w:r w:rsidRPr="006723AF">
              <w:rPr>
                <w:rStyle w:val="Hyperlink"/>
                <w:noProof/>
              </w:rPr>
              <w:t>5. Discussion</w:t>
            </w:r>
            <w:r>
              <w:rPr>
                <w:noProof/>
                <w:webHidden/>
              </w:rPr>
              <w:tab/>
            </w:r>
            <w:r>
              <w:rPr>
                <w:noProof/>
                <w:webHidden/>
              </w:rPr>
              <w:fldChar w:fldCharType="begin"/>
            </w:r>
            <w:r>
              <w:rPr>
                <w:noProof/>
                <w:webHidden/>
              </w:rPr>
              <w:instrText xml:space="preserve"> PAGEREF _Toc225876207 \h </w:instrText>
            </w:r>
            <w:r>
              <w:rPr>
                <w:noProof/>
                <w:webHidden/>
              </w:rPr>
            </w:r>
            <w:r>
              <w:rPr>
                <w:noProof/>
                <w:webHidden/>
              </w:rPr>
              <w:fldChar w:fldCharType="separate"/>
            </w:r>
            <w:r>
              <w:rPr>
                <w:noProof/>
                <w:webHidden/>
              </w:rPr>
              <w:t>42</w:t>
            </w:r>
            <w:r>
              <w:rPr>
                <w:noProof/>
                <w:webHidden/>
              </w:rPr>
              <w:fldChar w:fldCharType="end"/>
            </w:r>
          </w:hyperlink>
        </w:p>
        <w:p w14:paraId="6B5D9E7B" w14:textId="3788E877" w:rsidR="0040381B" w:rsidRDefault="0040381B">
          <w:pPr>
            <w:pStyle w:val="TOC1"/>
            <w:tabs>
              <w:tab w:val="right" w:leader="dot" w:pos="9350"/>
            </w:tabs>
            <w:rPr>
              <w:rFonts w:eastAsiaTheme="minorEastAsia" w:cstheme="minorBidi"/>
              <w:noProof/>
              <w:sz w:val="24"/>
              <w:szCs w:val="24"/>
              <w:lang w:eastAsia="en-CA"/>
            </w:rPr>
          </w:pPr>
          <w:hyperlink w:anchor="_Toc225876208" w:history="1">
            <w:r w:rsidRPr="006723AF">
              <w:rPr>
                <w:rStyle w:val="Hyperlink"/>
                <w:noProof/>
              </w:rPr>
              <w:t>6. Recommendations</w:t>
            </w:r>
            <w:r>
              <w:rPr>
                <w:noProof/>
                <w:webHidden/>
              </w:rPr>
              <w:tab/>
            </w:r>
            <w:r>
              <w:rPr>
                <w:noProof/>
                <w:webHidden/>
              </w:rPr>
              <w:fldChar w:fldCharType="begin"/>
            </w:r>
            <w:r>
              <w:rPr>
                <w:noProof/>
                <w:webHidden/>
              </w:rPr>
              <w:instrText xml:space="preserve"> PAGEREF _Toc225876208 \h </w:instrText>
            </w:r>
            <w:r>
              <w:rPr>
                <w:noProof/>
                <w:webHidden/>
              </w:rPr>
            </w:r>
            <w:r>
              <w:rPr>
                <w:noProof/>
                <w:webHidden/>
              </w:rPr>
              <w:fldChar w:fldCharType="separate"/>
            </w:r>
            <w:r>
              <w:rPr>
                <w:noProof/>
                <w:webHidden/>
              </w:rPr>
              <w:t>44</w:t>
            </w:r>
            <w:r>
              <w:rPr>
                <w:noProof/>
                <w:webHidden/>
              </w:rPr>
              <w:fldChar w:fldCharType="end"/>
            </w:r>
          </w:hyperlink>
        </w:p>
        <w:p w14:paraId="0195B7D1" w14:textId="471DD46C" w:rsidR="0040381B" w:rsidRDefault="0040381B">
          <w:pPr>
            <w:pStyle w:val="TOC2"/>
            <w:tabs>
              <w:tab w:val="right" w:leader="dot" w:pos="9350"/>
            </w:tabs>
            <w:rPr>
              <w:rFonts w:eastAsiaTheme="minorEastAsia" w:cstheme="minorBidi"/>
              <w:noProof/>
              <w:sz w:val="24"/>
              <w:szCs w:val="24"/>
              <w:lang w:eastAsia="en-CA"/>
            </w:rPr>
          </w:pPr>
          <w:hyperlink w:anchor="_Toc225876209" w:history="1">
            <w:r w:rsidRPr="006723AF">
              <w:rPr>
                <w:rStyle w:val="Hyperlink"/>
                <w:noProof/>
              </w:rPr>
              <w:t>6.1 Legal recognition and documentation practices</w:t>
            </w:r>
            <w:r>
              <w:rPr>
                <w:noProof/>
                <w:webHidden/>
              </w:rPr>
              <w:tab/>
            </w:r>
            <w:r>
              <w:rPr>
                <w:noProof/>
                <w:webHidden/>
              </w:rPr>
              <w:fldChar w:fldCharType="begin"/>
            </w:r>
            <w:r>
              <w:rPr>
                <w:noProof/>
                <w:webHidden/>
              </w:rPr>
              <w:instrText xml:space="preserve"> PAGEREF _Toc225876209 \h </w:instrText>
            </w:r>
            <w:r>
              <w:rPr>
                <w:noProof/>
                <w:webHidden/>
              </w:rPr>
            </w:r>
            <w:r>
              <w:rPr>
                <w:noProof/>
                <w:webHidden/>
              </w:rPr>
              <w:fldChar w:fldCharType="separate"/>
            </w:r>
            <w:r>
              <w:rPr>
                <w:noProof/>
                <w:webHidden/>
              </w:rPr>
              <w:t>45</w:t>
            </w:r>
            <w:r>
              <w:rPr>
                <w:noProof/>
                <w:webHidden/>
              </w:rPr>
              <w:fldChar w:fldCharType="end"/>
            </w:r>
          </w:hyperlink>
        </w:p>
        <w:p w14:paraId="67B98C63" w14:textId="499CBDB3" w:rsidR="0040381B" w:rsidRDefault="0040381B">
          <w:pPr>
            <w:pStyle w:val="TOC2"/>
            <w:tabs>
              <w:tab w:val="right" w:leader="dot" w:pos="9350"/>
            </w:tabs>
            <w:rPr>
              <w:rFonts w:eastAsiaTheme="minorEastAsia" w:cstheme="minorBidi"/>
              <w:noProof/>
              <w:sz w:val="24"/>
              <w:szCs w:val="24"/>
              <w:lang w:eastAsia="en-CA"/>
            </w:rPr>
          </w:pPr>
          <w:hyperlink w:anchor="_Toc225876210" w:history="1">
            <w:r w:rsidRPr="006723AF">
              <w:rPr>
                <w:rStyle w:val="Hyperlink"/>
                <w:noProof/>
              </w:rPr>
              <w:t>6.2 Transportation systems (air travel, taxis, ride-shares, and multimodal ecosystems)</w:t>
            </w:r>
            <w:r>
              <w:rPr>
                <w:noProof/>
                <w:webHidden/>
              </w:rPr>
              <w:tab/>
            </w:r>
            <w:r>
              <w:rPr>
                <w:noProof/>
                <w:webHidden/>
              </w:rPr>
              <w:fldChar w:fldCharType="begin"/>
            </w:r>
            <w:r>
              <w:rPr>
                <w:noProof/>
                <w:webHidden/>
              </w:rPr>
              <w:instrText xml:space="preserve"> PAGEREF _Toc225876210 \h </w:instrText>
            </w:r>
            <w:r>
              <w:rPr>
                <w:noProof/>
                <w:webHidden/>
              </w:rPr>
            </w:r>
            <w:r>
              <w:rPr>
                <w:noProof/>
                <w:webHidden/>
              </w:rPr>
              <w:fldChar w:fldCharType="separate"/>
            </w:r>
            <w:r>
              <w:rPr>
                <w:noProof/>
                <w:webHidden/>
              </w:rPr>
              <w:t>46</w:t>
            </w:r>
            <w:r>
              <w:rPr>
                <w:noProof/>
                <w:webHidden/>
              </w:rPr>
              <w:fldChar w:fldCharType="end"/>
            </w:r>
          </w:hyperlink>
        </w:p>
        <w:p w14:paraId="544BAC66" w14:textId="60ED0C03" w:rsidR="0040381B" w:rsidRDefault="0040381B">
          <w:pPr>
            <w:pStyle w:val="TOC2"/>
            <w:tabs>
              <w:tab w:val="right" w:leader="dot" w:pos="9350"/>
            </w:tabs>
            <w:rPr>
              <w:rFonts w:eastAsiaTheme="minorEastAsia" w:cstheme="minorBidi"/>
              <w:noProof/>
              <w:sz w:val="24"/>
              <w:szCs w:val="24"/>
              <w:lang w:eastAsia="en-CA"/>
            </w:rPr>
          </w:pPr>
          <w:hyperlink w:anchor="_Toc225876211" w:history="1">
            <w:r w:rsidRPr="006723AF">
              <w:rPr>
                <w:rStyle w:val="Hyperlink"/>
                <w:noProof/>
              </w:rPr>
              <w:t>6.3 Standards development boundaries and barrier-proofing future regulation</w:t>
            </w:r>
            <w:r>
              <w:rPr>
                <w:noProof/>
                <w:webHidden/>
              </w:rPr>
              <w:tab/>
            </w:r>
            <w:r>
              <w:rPr>
                <w:noProof/>
                <w:webHidden/>
              </w:rPr>
              <w:fldChar w:fldCharType="begin"/>
            </w:r>
            <w:r>
              <w:rPr>
                <w:noProof/>
                <w:webHidden/>
              </w:rPr>
              <w:instrText xml:space="preserve"> PAGEREF _Toc225876211 \h </w:instrText>
            </w:r>
            <w:r>
              <w:rPr>
                <w:noProof/>
                <w:webHidden/>
              </w:rPr>
            </w:r>
            <w:r>
              <w:rPr>
                <w:noProof/>
                <w:webHidden/>
              </w:rPr>
              <w:fldChar w:fldCharType="separate"/>
            </w:r>
            <w:r>
              <w:rPr>
                <w:noProof/>
                <w:webHidden/>
              </w:rPr>
              <w:t>48</w:t>
            </w:r>
            <w:r>
              <w:rPr>
                <w:noProof/>
                <w:webHidden/>
              </w:rPr>
              <w:fldChar w:fldCharType="end"/>
            </w:r>
          </w:hyperlink>
        </w:p>
        <w:p w14:paraId="7621A2B6" w14:textId="794A387E" w:rsidR="0040381B" w:rsidRDefault="0040381B">
          <w:pPr>
            <w:pStyle w:val="TOC2"/>
            <w:tabs>
              <w:tab w:val="right" w:leader="dot" w:pos="9350"/>
            </w:tabs>
            <w:rPr>
              <w:rFonts w:eastAsiaTheme="minorEastAsia" w:cstheme="minorBidi"/>
              <w:noProof/>
              <w:sz w:val="24"/>
              <w:szCs w:val="24"/>
              <w:lang w:eastAsia="en-CA"/>
            </w:rPr>
          </w:pPr>
          <w:hyperlink w:anchor="_Toc225876212" w:history="1">
            <w:r w:rsidRPr="006723AF">
              <w:rPr>
                <w:rStyle w:val="Hyperlink"/>
                <w:noProof/>
              </w:rPr>
              <w:t>6.4 Enforcement capacity (penalties, policing knowledge, and practical recourse)</w:t>
            </w:r>
            <w:r>
              <w:rPr>
                <w:noProof/>
                <w:webHidden/>
              </w:rPr>
              <w:tab/>
            </w:r>
            <w:r>
              <w:rPr>
                <w:noProof/>
                <w:webHidden/>
              </w:rPr>
              <w:fldChar w:fldCharType="begin"/>
            </w:r>
            <w:r>
              <w:rPr>
                <w:noProof/>
                <w:webHidden/>
              </w:rPr>
              <w:instrText xml:space="preserve"> PAGEREF _Toc225876212 \h </w:instrText>
            </w:r>
            <w:r>
              <w:rPr>
                <w:noProof/>
                <w:webHidden/>
              </w:rPr>
            </w:r>
            <w:r>
              <w:rPr>
                <w:noProof/>
                <w:webHidden/>
              </w:rPr>
              <w:fldChar w:fldCharType="separate"/>
            </w:r>
            <w:r>
              <w:rPr>
                <w:noProof/>
                <w:webHidden/>
              </w:rPr>
              <w:t>49</w:t>
            </w:r>
            <w:r>
              <w:rPr>
                <w:noProof/>
                <w:webHidden/>
              </w:rPr>
              <w:fldChar w:fldCharType="end"/>
            </w:r>
          </w:hyperlink>
        </w:p>
        <w:p w14:paraId="036C2246" w14:textId="7BE2B61C" w:rsidR="0040381B" w:rsidRDefault="0040381B">
          <w:pPr>
            <w:pStyle w:val="TOC2"/>
            <w:tabs>
              <w:tab w:val="right" w:leader="dot" w:pos="9350"/>
            </w:tabs>
            <w:rPr>
              <w:rFonts w:eastAsiaTheme="minorEastAsia" w:cstheme="minorBidi"/>
              <w:noProof/>
              <w:sz w:val="24"/>
              <w:szCs w:val="24"/>
              <w:lang w:eastAsia="en-CA"/>
            </w:rPr>
          </w:pPr>
          <w:hyperlink w:anchor="_Toc225876213" w:history="1">
            <w:r w:rsidRPr="006723AF">
              <w:rPr>
                <w:rStyle w:val="Hyperlink"/>
                <w:noProof/>
              </w:rPr>
              <w:t>6.5 Human rights and competing-rights resolution (process reform and accommodation practice)</w:t>
            </w:r>
            <w:r>
              <w:rPr>
                <w:noProof/>
                <w:webHidden/>
              </w:rPr>
              <w:tab/>
            </w:r>
            <w:r>
              <w:rPr>
                <w:noProof/>
                <w:webHidden/>
              </w:rPr>
              <w:fldChar w:fldCharType="begin"/>
            </w:r>
            <w:r>
              <w:rPr>
                <w:noProof/>
                <w:webHidden/>
              </w:rPr>
              <w:instrText xml:space="preserve"> PAGEREF _Toc225876213 \h </w:instrText>
            </w:r>
            <w:r>
              <w:rPr>
                <w:noProof/>
                <w:webHidden/>
              </w:rPr>
            </w:r>
            <w:r>
              <w:rPr>
                <w:noProof/>
                <w:webHidden/>
              </w:rPr>
              <w:fldChar w:fldCharType="separate"/>
            </w:r>
            <w:r>
              <w:rPr>
                <w:noProof/>
                <w:webHidden/>
              </w:rPr>
              <w:t>49</w:t>
            </w:r>
            <w:r>
              <w:rPr>
                <w:noProof/>
                <w:webHidden/>
              </w:rPr>
              <w:fldChar w:fldCharType="end"/>
            </w:r>
          </w:hyperlink>
        </w:p>
        <w:p w14:paraId="666B782C" w14:textId="6A6AC3F9" w:rsidR="0040381B" w:rsidRDefault="0040381B">
          <w:pPr>
            <w:pStyle w:val="TOC2"/>
            <w:tabs>
              <w:tab w:val="right" w:leader="dot" w:pos="9350"/>
            </w:tabs>
            <w:rPr>
              <w:rFonts w:eastAsiaTheme="minorEastAsia" w:cstheme="minorBidi"/>
              <w:noProof/>
              <w:sz w:val="24"/>
              <w:szCs w:val="24"/>
              <w:lang w:eastAsia="en-CA"/>
            </w:rPr>
          </w:pPr>
          <w:hyperlink w:anchor="_Toc225876214" w:history="1">
            <w:r w:rsidRPr="006723AF">
              <w:rPr>
                <w:rStyle w:val="Hyperlink"/>
                <w:noProof/>
              </w:rPr>
              <w:t>6.6 Public and professional education (service providers, curriculum, and national campaigns)</w:t>
            </w:r>
            <w:r>
              <w:rPr>
                <w:noProof/>
                <w:webHidden/>
              </w:rPr>
              <w:tab/>
            </w:r>
            <w:r>
              <w:rPr>
                <w:noProof/>
                <w:webHidden/>
              </w:rPr>
              <w:fldChar w:fldCharType="begin"/>
            </w:r>
            <w:r>
              <w:rPr>
                <w:noProof/>
                <w:webHidden/>
              </w:rPr>
              <w:instrText xml:space="preserve"> PAGEREF _Toc225876214 \h </w:instrText>
            </w:r>
            <w:r>
              <w:rPr>
                <w:noProof/>
                <w:webHidden/>
              </w:rPr>
            </w:r>
            <w:r>
              <w:rPr>
                <w:noProof/>
                <w:webHidden/>
              </w:rPr>
              <w:fldChar w:fldCharType="separate"/>
            </w:r>
            <w:r>
              <w:rPr>
                <w:noProof/>
                <w:webHidden/>
              </w:rPr>
              <w:t>51</w:t>
            </w:r>
            <w:r>
              <w:rPr>
                <w:noProof/>
                <w:webHidden/>
              </w:rPr>
              <w:fldChar w:fldCharType="end"/>
            </w:r>
          </w:hyperlink>
        </w:p>
        <w:p w14:paraId="43EE1849" w14:textId="4BDEAC34" w:rsidR="0040381B" w:rsidRDefault="0040381B">
          <w:pPr>
            <w:pStyle w:val="TOC2"/>
            <w:tabs>
              <w:tab w:val="right" w:leader="dot" w:pos="9350"/>
            </w:tabs>
            <w:rPr>
              <w:rFonts w:eastAsiaTheme="minorEastAsia" w:cstheme="minorBidi"/>
              <w:noProof/>
              <w:sz w:val="24"/>
              <w:szCs w:val="24"/>
              <w:lang w:eastAsia="en-CA"/>
            </w:rPr>
          </w:pPr>
          <w:hyperlink w:anchor="_Toc225876215" w:history="1">
            <w:r w:rsidRPr="006723AF">
              <w:rPr>
                <w:rStyle w:val="Hyperlink"/>
                <w:noProof/>
              </w:rPr>
              <w:t>6.7 Safety in public space (driving laws)</w:t>
            </w:r>
            <w:r>
              <w:rPr>
                <w:noProof/>
                <w:webHidden/>
              </w:rPr>
              <w:tab/>
            </w:r>
            <w:r>
              <w:rPr>
                <w:noProof/>
                <w:webHidden/>
              </w:rPr>
              <w:fldChar w:fldCharType="begin"/>
            </w:r>
            <w:r>
              <w:rPr>
                <w:noProof/>
                <w:webHidden/>
              </w:rPr>
              <w:instrText xml:space="preserve"> PAGEREF _Toc225876215 \h </w:instrText>
            </w:r>
            <w:r>
              <w:rPr>
                <w:noProof/>
                <w:webHidden/>
              </w:rPr>
            </w:r>
            <w:r>
              <w:rPr>
                <w:noProof/>
                <w:webHidden/>
              </w:rPr>
              <w:fldChar w:fldCharType="separate"/>
            </w:r>
            <w:r>
              <w:rPr>
                <w:noProof/>
                <w:webHidden/>
              </w:rPr>
              <w:t>52</w:t>
            </w:r>
            <w:r>
              <w:rPr>
                <w:noProof/>
                <w:webHidden/>
              </w:rPr>
              <w:fldChar w:fldCharType="end"/>
            </w:r>
          </w:hyperlink>
        </w:p>
        <w:p w14:paraId="20267C5E" w14:textId="4C785B9D" w:rsidR="0040381B" w:rsidRDefault="0040381B">
          <w:pPr>
            <w:pStyle w:val="TOC2"/>
            <w:tabs>
              <w:tab w:val="right" w:leader="dot" w:pos="9350"/>
            </w:tabs>
            <w:rPr>
              <w:rFonts w:eastAsiaTheme="minorEastAsia" w:cstheme="minorBidi"/>
              <w:noProof/>
              <w:sz w:val="24"/>
              <w:szCs w:val="24"/>
              <w:lang w:eastAsia="en-CA"/>
            </w:rPr>
          </w:pPr>
          <w:hyperlink w:anchor="_Toc225876216" w:history="1">
            <w:r w:rsidRPr="006723AF">
              <w:rPr>
                <w:rStyle w:val="Hyperlink"/>
                <w:noProof/>
              </w:rPr>
              <w:t>6.8 Implications for research</w:t>
            </w:r>
            <w:r>
              <w:rPr>
                <w:noProof/>
                <w:webHidden/>
              </w:rPr>
              <w:tab/>
            </w:r>
            <w:r>
              <w:rPr>
                <w:noProof/>
                <w:webHidden/>
              </w:rPr>
              <w:fldChar w:fldCharType="begin"/>
            </w:r>
            <w:r>
              <w:rPr>
                <w:noProof/>
                <w:webHidden/>
              </w:rPr>
              <w:instrText xml:space="preserve"> PAGEREF _Toc225876216 \h </w:instrText>
            </w:r>
            <w:r>
              <w:rPr>
                <w:noProof/>
                <w:webHidden/>
              </w:rPr>
            </w:r>
            <w:r>
              <w:rPr>
                <w:noProof/>
                <w:webHidden/>
              </w:rPr>
              <w:fldChar w:fldCharType="separate"/>
            </w:r>
            <w:r>
              <w:rPr>
                <w:noProof/>
                <w:webHidden/>
              </w:rPr>
              <w:t>52</w:t>
            </w:r>
            <w:r>
              <w:rPr>
                <w:noProof/>
                <w:webHidden/>
              </w:rPr>
              <w:fldChar w:fldCharType="end"/>
            </w:r>
          </w:hyperlink>
        </w:p>
        <w:p w14:paraId="7F7DDF70" w14:textId="2A2840F8" w:rsidR="0040381B" w:rsidRDefault="0040381B">
          <w:pPr>
            <w:pStyle w:val="TOC2"/>
            <w:tabs>
              <w:tab w:val="right" w:leader="dot" w:pos="9350"/>
            </w:tabs>
            <w:rPr>
              <w:rFonts w:eastAsiaTheme="minorEastAsia" w:cstheme="minorBidi"/>
              <w:noProof/>
              <w:sz w:val="24"/>
              <w:szCs w:val="24"/>
              <w:lang w:eastAsia="en-CA"/>
            </w:rPr>
          </w:pPr>
          <w:hyperlink w:anchor="_Toc225876217" w:history="1">
            <w:r w:rsidRPr="006723AF">
              <w:rPr>
                <w:rStyle w:val="Hyperlink"/>
                <w:noProof/>
              </w:rPr>
              <w:t>6.9 Strengths</w:t>
            </w:r>
            <w:r>
              <w:rPr>
                <w:noProof/>
                <w:webHidden/>
              </w:rPr>
              <w:tab/>
            </w:r>
            <w:r>
              <w:rPr>
                <w:noProof/>
                <w:webHidden/>
              </w:rPr>
              <w:fldChar w:fldCharType="begin"/>
            </w:r>
            <w:r>
              <w:rPr>
                <w:noProof/>
                <w:webHidden/>
              </w:rPr>
              <w:instrText xml:space="preserve"> PAGEREF _Toc225876217 \h </w:instrText>
            </w:r>
            <w:r>
              <w:rPr>
                <w:noProof/>
                <w:webHidden/>
              </w:rPr>
            </w:r>
            <w:r>
              <w:rPr>
                <w:noProof/>
                <w:webHidden/>
              </w:rPr>
              <w:fldChar w:fldCharType="separate"/>
            </w:r>
            <w:r>
              <w:rPr>
                <w:noProof/>
                <w:webHidden/>
              </w:rPr>
              <w:t>53</w:t>
            </w:r>
            <w:r>
              <w:rPr>
                <w:noProof/>
                <w:webHidden/>
              </w:rPr>
              <w:fldChar w:fldCharType="end"/>
            </w:r>
          </w:hyperlink>
        </w:p>
        <w:p w14:paraId="1AF1BBDC" w14:textId="76A87C06" w:rsidR="0040381B" w:rsidRDefault="0040381B">
          <w:pPr>
            <w:pStyle w:val="TOC1"/>
            <w:tabs>
              <w:tab w:val="right" w:leader="dot" w:pos="9350"/>
            </w:tabs>
            <w:rPr>
              <w:rFonts w:eastAsiaTheme="minorEastAsia" w:cstheme="minorBidi"/>
              <w:noProof/>
              <w:sz w:val="24"/>
              <w:szCs w:val="24"/>
              <w:lang w:eastAsia="en-CA"/>
            </w:rPr>
          </w:pPr>
          <w:hyperlink w:anchor="_Toc225876218" w:history="1">
            <w:r w:rsidRPr="006723AF">
              <w:rPr>
                <w:rStyle w:val="Hyperlink"/>
                <w:noProof/>
              </w:rPr>
              <w:t>7. Limitations</w:t>
            </w:r>
            <w:r>
              <w:rPr>
                <w:noProof/>
                <w:webHidden/>
              </w:rPr>
              <w:tab/>
            </w:r>
            <w:r>
              <w:rPr>
                <w:noProof/>
                <w:webHidden/>
              </w:rPr>
              <w:fldChar w:fldCharType="begin"/>
            </w:r>
            <w:r>
              <w:rPr>
                <w:noProof/>
                <w:webHidden/>
              </w:rPr>
              <w:instrText xml:space="preserve"> PAGEREF _Toc225876218 \h </w:instrText>
            </w:r>
            <w:r>
              <w:rPr>
                <w:noProof/>
                <w:webHidden/>
              </w:rPr>
            </w:r>
            <w:r>
              <w:rPr>
                <w:noProof/>
                <w:webHidden/>
              </w:rPr>
              <w:fldChar w:fldCharType="separate"/>
            </w:r>
            <w:r>
              <w:rPr>
                <w:noProof/>
                <w:webHidden/>
              </w:rPr>
              <w:t>54</w:t>
            </w:r>
            <w:r>
              <w:rPr>
                <w:noProof/>
                <w:webHidden/>
              </w:rPr>
              <w:fldChar w:fldCharType="end"/>
            </w:r>
          </w:hyperlink>
        </w:p>
        <w:p w14:paraId="46C09740" w14:textId="0F3BA148" w:rsidR="0040381B" w:rsidRDefault="0040381B">
          <w:pPr>
            <w:pStyle w:val="TOC1"/>
            <w:tabs>
              <w:tab w:val="right" w:leader="dot" w:pos="9350"/>
            </w:tabs>
            <w:rPr>
              <w:rFonts w:eastAsiaTheme="minorEastAsia" w:cstheme="minorBidi"/>
              <w:noProof/>
              <w:sz w:val="24"/>
              <w:szCs w:val="24"/>
              <w:lang w:eastAsia="en-CA"/>
            </w:rPr>
          </w:pPr>
          <w:hyperlink w:anchor="_Toc225876219" w:history="1">
            <w:r w:rsidRPr="006723AF">
              <w:rPr>
                <w:rStyle w:val="Hyperlink"/>
                <w:noProof/>
              </w:rPr>
              <w:t>8. Conclusion</w:t>
            </w:r>
            <w:r>
              <w:rPr>
                <w:noProof/>
                <w:webHidden/>
              </w:rPr>
              <w:tab/>
            </w:r>
            <w:r>
              <w:rPr>
                <w:noProof/>
                <w:webHidden/>
              </w:rPr>
              <w:fldChar w:fldCharType="begin"/>
            </w:r>
            <w:r>
              <w:rPr>
                <w:noProof/>
                <w:webHidden/>
              </w:rPr>
              <w:instrText xml:space="preserve"> PAGEREF _Toc225876219 \h </w:instrText>
            </w:r>
            <w:r>
              <w:rPr>
                <w:noProof/>
                <w:webHidden/>
              </w:rPr>
            </w:r>
            <w:r>
              <w:rPr>
                <w:noProof/>
                <w:webHidden/>
              </w:rPr>
              <w:fldChar w:fldCharType="separate"/>
            </w:r>
            <w:r>
              <w:rPr>
                <w:noProof/>
                <w:webHidden/>
              </w:rPr>
              <w:t>55</w:t>
            </w:r>
            <w:r>
              <w:rPr>
                <w:noProof/>
                <w:webHidden/>
              </w:rPr>
              <w:fldChar w:fldCharType="end"/>
            </w:r>
          </w:hyperlink>
        </w:p>
        <w:p w14:paraId="65775228" w14:textId="0CD26908" w:rsidR="0040381B" w:rsidRDefault="0040381B">
          <w:pPr>
            <w:pStyle w:val="TOC1"/>
            <w:tabs>
              <w:tab w:val="right" w:leader="dot" w:pos="9350"/>
            </w:tabs>
            <w:rPr>
              <w:rFonts w:eastAsiaTheme="minorEastAsia" w:cstheme="minorBidi"/>
              <w:noProof/>
              <w:sz w:val="24"/>
              <w:szCs w:val="24"/>
              <w:lang w:eastAsia="en-CA"/>
            </w:rPr>
          </w:pPr>
          <w:hyperlink w:anchor="_Toc225876220" w:history="1">
            <w:r w:rsidRPr="006723AF">
              <w:rPr>
                <w:rStyle w:val="Hyperlink"/>
                <w:noProof/>
              </w:rPr>
              <w:t>9. References</w:t>
            </w:r>
            <w:r>
              <w:rPr>
                <w:noProof/>
                <w:webHidden/>
              </w:rPr>
              <w:tab/>
            </w:r>
            <w:r>
              <w:rPr>
                <w:noProof/>
                <w:webHidden/>
              </w:rPr>
              <w:fldChar w:fldCharType="begin"/>
            </w:r>
            <w:r>
              <w:rPr>
                <w:noProof/>
                <w:webHidden/>
              </w:rPr>
              <w:instrText xml:space="preserve"> PAGEREF _Toc225876220 \h </w:instrText>
            </w:r>
            <w:r>
              <w:rPr>
                <w:noProof/>
                <w:webHidden/>
              </w:rPr>
            </w:r>
            <w:r>
              <w:rPr>
                <w:noProof/>
                <w:webHidden/>
              </w:rPr>
              <w:fldChar w:fldCharType="separate"/>
            </w:r>
            <w:r>
              <w:rPr>
                <w:noProof/>
                <w:webHidden/>
              </w:rPr>
              <w:t>56</w:t>
            </w:r>
            <w:r>
              <w:rPr>
                <w:noProof/>
                <w:webHidden/>
              </w:rPr>
              <w:fldChar w:fldCharType="end"/>
            </w:r>
          </w:hyperlink>
        </w:p>
        <w:p w14:paraId="43EEB307" w14:textId="2D97B58E" w:rsidR="6A0D869D" w:rsidRDefault="6A0D869D" w:rsidP="009515E4">
          <w:pPr>
            <w:pStyle w:val="TOC1"/>
            <w:rPr>
              <w:rStyle w:val="Hyperlink"/>
            </w:rPr>
          </w:pPr>
          <w:r>
            <w:fldChar w:fldCharType="end"/>
          </w:r>
        </w:p>
      </w:sdtContent>
    </w:sdt>
    <w:p w14:paraId="603A0DF9" w14:textId="40F886F1" w:rsidR="6A0D869D" w:rsidRDefault="6A0D869D" w:rsidP="009515E4"/>
    <w:p w14:paraId="1B1F1C2D" w14:textId="77777777" w:rsidR="00D404FB" w:rsidRDefault="00D404FB" w:rsidP="009515E4">
      <w:pPr>
        <w:rPr>
          <w:lang w:eastAsia="en-CA"/>
        </w:rPr>
      </w:pPr>
      <w:r>
        <w:t> </w:t>
      </w:r>
    </w:p>
    <w:p w14:paraId="73CD1D3F" w14:textId="77777777" w:rsidR="00CB6FC7" w:rsidRDefault="00CB6FC7" w:rsidP="009515E4">
      <w:r>
        <w:br w:type="page"/>
      </w:r>
    </w:p>
    <w:p w14:paraId="74DFBD9A" w14:textId="77777777" w:rsidR="007777B0" w:rsidRDefault="007777B0" w:rsidP="009515E4">
      <w:r>
        <w:rPr>
          <w:b/>
          <w:bCs/>
        </w:rPr>
        <w:t>Editors:</w:t>
      </w:r>
      <w:r>
        <w:t xml:space="preserve"> Kathy Bietz; Michaela Knot</w:t>
      </w:r>
    </w:p>
    <w:p w14:paraId="461C415F" w14:textId="77777777" w:rsidR="007777B0" w:rsidRDefault="007777B0" w:rsidP="009515E4">
      <w:r>
        <w:t>CNIB Research Team</w:t>
      </w:r>
    </w:p>
    <w:p w14:paraId="2BDB3848" w14:textId="4D55391F" w:rsidR="6A0D869D" w:rsidRDefault="28DB888F" w:rsidP="009515E4">
      <w:r w:rsidRPr="6A0D869D">
        <w:rPr>
          <w:b/>
          <w:bCs/>
        </w:rPr>
        <w:t>Funding acknowledgement:</w:t>
      </w:r>
      <w:r>
        <w:t xml:space="preserve"> This project was funded by Accessibility Standards Canada (ASC). The analyses, interpretations and conclusions expressed in this report are those of the authors and do not necessarily reflect the views of Accessibility Standards Canada.</w:t>
      </w:r>
    </w:p>
    <w:p w14:paraId="0B49E91F" w14:textId="77777777" w:rsidR="007777B0" w:rsidRDefault="28DB888F" w:rsidP="009515E4">
      <w:pPr>
        <w:pStyle w:val="Heading1"/>
        <w:rPr>
          <w:lang w:eastAsia="en-CA"/>
        </w:rPr>
      </w:pPr>
      <w:bookmarkStart w:id="11" w:name="_Toc1143868304"/>
      <w:bookmarkStart w:id="12" w:name="_Toc816937757"/>
      <w:bookmarkStart w:id="13" w:name="_Toc1212354619"/>
      <w:bookmarkStart w:id="14" w:name="_Toc5826467"/>
      <w:bookmarkStart w:id="15" w:name="_Toc1811062887"/>
      <w:bookmarkStart w:id="16" w:name="_Toc1467199905"/>
      <w:bookmarkStart w:id="17" w:name="_Toc1834033100"/>
      <w:bookmarkStart w:id="18" w:name="_Toc1770088991"/>
      <w:bookmarkStart w:id="19" w:name="_Toc266578767"/>
      <w:bookmarkStart w:id="20" w:name="_Toc225876190"/>
      <w:r>
        <w:t>Report content</w:t>
      </w:r>
      <w:bookmarkEnd w:id="11"/>
      <w:bookmarkEnd w:id="12"/>
      <w:bookmarkEnd w:id="13"/>
      <w:bookmarkEnd w:id="14"/>
      <w:bookmarkEnd w:id="15"/>
      <w:bookmarkEnd w:id="16"/>
      <w:bookmarkEnd w:id="17"/>
      <w:bookmarkEnd w:id="18"/>
      <w:bookmarkEnd w:id="19"/>
      <w:bookmarkEnd w:id="20"/>
    </w:p>
    <w:p w14:paraId="634F1DF3" w14:textId="77777777" w:rsidR="007777B0" w:rsidRDefault="007777B0" w:rsidP="009515E4">
      <w:pPr>
        <w:rPr>
          <w:lang w:eastAsia="en-CA"/>
        </w:rPr>
      </w:pPr>
      <w:r>
        <w:t>CNIB Research</w:t>
      </w:r>
    </w:p>
    <w:p w14:paraId="1BAD0D27" w14:textId="77777777" w:rsidR="00D404FB" w:rsidRDefault="00D404FB" w:rsidP="009515E4">
      <w:pPr>
        <w:rPr>
          <w:lang w:eastAsia="en-CA"/>
        </w:rPr>
      </w:pPr>
      <w:r>
        <w:t>Prepared as a condensed research summary to support dissemination and discussion. This summary preserves the study’s intent and key evidence while omitting annex materials. For further information please contact: research@cnib.ca</w:t>
      </w:r>
    </w:p>
    <w:p w14:paraId="01164FB8" w14:textId="5857B970" w:rsidR="000A336D" w:rsidRDefault="000A336D" w:rsidP="009515E4">
      <w:r>
        <w:rPr>
          <w:b/>
          <w:bCs/>
        </w:rPr>
        <w:t>Editors:</w:t>
      </w:r>
      <w:r>
        <w:t xml:space="preserve"> Kathy Bietz; Michaela Knot</w:t>
      </w:r>
    </w:p>
    <w:p w14:paraId="4FFD0755" w14:textId="77777777" w:rsidR="000A336D" w:rsidRDefault="3D0B5717" w:rsidP="009515E4">
      <w:pPr>
        <w:pStyle w:val="Heading1"/>
        <w:rPr>
          <w:kern w:val="36"/>
          <w:sz w:val="32"/>
          <w:szCs w:val="32"/>
        </w:rPr>
      </w:pPr>
      <w:bookmarkStart w:id="21" w:name="_Toc1982426544"/>
      <w:bookmarkStart w:id="22" w:name="_Toc937155274"/>
      <w:bookmarkStart w:id="23" w:name="_Toc683731563"/>
      <w:bookmarkStart w:id="24" w:name="_Toc1847407340"/>
      <w:bookmarkStart w:id="25" w:name="_Toc1710826477"/>
      <w:bookmarkStart w:id="26" w:name="_Toc796819055"/>
      <w:bookmarkStart w:id="27" w:name="_Toc1699265186"/>
      <w:bookmarkStart w:id="28" w:name="_Toc584048599"/>
      <w:bookmarkStart w:id="29" w:name="_Toc1478149860"/>
      <w:bookmarkStart w:id="30" w:name="_Toc225876191"/>
      <w:r>
        <w:t>Funding acknowledgement</w:t>
      </w:r>
      <w:bookmarkEnd w:id="21"/>
      <w:bookmarkEnd w:id="22"/>
      <w:bookmarkEnd w:id="23"/>
      <w:bookmarkEnd w:id="24"/>
      <w:bookmarkEnd w:id="25"/>
      <w:bookmarkEnd w:id="26"/>
      <w:bookmarkEnd w:id="27"/>
      <w:bookmarkEnd w:id="28"/>
      <w:bookmarkEnd w:id="29"/>
      <w:bookmarkEnd w:id="30"/>
    </w:p>
    <w:p w14:paraId="58273C13" w14:textId="77777777" w:rsidR="002104A2" w:rsidRDefault="002104A2" w:rsidP="009515E4">
      <w:r>
        <w:t>This project was funded by Accessibility Standards Canada (ASC). The analyses, interpretations, and conclusions expressed in this condensed research summary are those of the authors and do not necessarily reflect the views of Accessibility Standards Canada.</w:t>
      </w:r>
    </w:p>
    <w:p w14:paraId="7D0CE60A" w14:textId="77777777" w:rsidR="007C3640" w:rsidRDefault="007C3640" w:rsidP="009515E4">
      <w:pPr>
        <w:rPr>
          <w:rFonts w:asciiTheme="majorHAnsi" w:eastAsiaTheme="majorEastAsia" w:hAnsiTheme="majorHAnsi" w:cstheme="majorBidi"/>
          <w:sz w:val="40"/>
          <w:szCs w:val="40"/>
        </w:rPr>
      </w:pPr>
      <w:bookmarkStart w:id="31" w:name="_Toc2142792367"/>
      <w:bookmarkStart w:id="32" w:name="_Toc945800375"/>
      <w:bookmarkStart w:id="33" w:name="_Toc905638446"/>
      <w:bookmarkStart w:id="34" w:name="_Toc1398971911"/>
      <w:bookmarkStart w:id="35" w:name="_Toc1261949084"/>
      <w:bookmarkStart w:id="36" w:name="_Toc1235984"/>
      <w:bookmarkStart w:id="37" w:name="_Toc745998022"/>
      <w:bookmarkStart w:id="38" w:name="_Toc1255985797"/>
      <w:bookmarkStart w:id="39" w:name="_Toc806109818"/>
      <w:r>
        <w:br w:type="page"/>
      </w:r>
    </w:p>
    <w:p w14:paraId="7F1C8A21" w14:textId="77777777" w:rsidR="00654BF9" w:rsidRDefault="007C3640" w:rsidP="009515E4">
      <w:pPr>
        <w:pStyle w:val="Heading1"/>
      </w:pPr>
      <w:bookmarkStart w:id="40" w:name="_Toc225876192"/>
      <w:r>
        <w:t>List of Tables</w:t>
      </w:r>
      <w:bookmarkEnd w:id="40"/>
    </w:p>
    <w:p w14:paraId="31D102A9" w14:textId="6E34C9B1" w:rsidR="0040381B" w:rsidRDefault="0040381B">
      <w:pPr>
        <w:pStyle w:val="TableofFigures"/>
        <w:tabs>
          <w:tab w:val="right" w:leader="dot" w:pos="9350"/>
        </w:tabs>
        <w:rPr>
          <w:rFonts w:eastAsiaTheme="minorEastAsia" w:cstheme="minorBidi"/>
          <w:b w:val="0"/>
          <w:noProof/>
          <w:sz w:val="24"/>
          <w:szCs w:val="24"/>
          <w:lang w:eastAsia="en-CA"/>
        </w:rPr>
      </w:pPr>
      <w:r>
        <w:fldChar w:fldCharType="begin"/>
      </w:r>
      <w:r>
        <w:instrText xml:space="preserve"> TOC \h \z \c "Table" </w:instrText>
      </w:r>
      <w:r>
        <w:fldChar w:fldCharType="separate"/>
      </w:r>
      <w:hyperlink w:anchor="_Toc225876245" w:history="1">
        <w:r w:rsidRPr="005D2659">
          <w:rPr>
            <w:rStyle w:val="Hyperlink"/>
            <w:rFonts w:eastAsiaTheme="majorEastAsia"/>
            <w:noProof/>
          </w:rPr>
          <w:t>Table 1 Respondent characteristics (Guide Dog Handlers Experiences Survey; n=546 complete responses)</w:t>
        </w:r>
        <w:r>
          <w:rPr>
            <w:noProof/>
            <w:webHidden/>
          </w:rPr>
          <w:tab/>
        </w:r>
        <w:r>
          <w:rPr>
            <w:noProof/>
            <w:webHidden/>
          </w:rPr>
          <w:fldChar w:fldCharType="begin"/>
        </w:r>
        <w:r>
          <w:rPr>
            <w:noProof/>
            <w:webHidden/>
          </w:rPr>
          <w:instrText xml:space="preserve"> PAGEREF _Toc225876245 \h </w:instrText>
        </w:r>
        <w:r>
          <w:rPr>
            <w:noProof/>
            <w:webHidden/>
          </w:rPr>
        </w:r>
        <w:r>
          <w:rPr>
            <w:noProof/>
            <w:webHidden/>
          </w:rPr>
          <w:fldChar w:fldCharType="separate"/>
        </w:r>
        <w:r>
          <w:rPr>
            <w:noProof/>
            <w:webHidden/>
          </w:rPr>
          <w:t>16</w:t>
        </w:r>
        <w:r>
          <w:rPr>
            <w:noProof/>
            <w:webHidden/>
          </w:rPr>
          <w:fldChar w:fldCharType="end"/>
        </w:r>
      </w:hyperlink>
    </w:p>
    <w:p w14:paraId="6B9053F3" w14:textId="3A5FE3CA" w:rsidR="0040381B" w:rsidRPr="0040381B" w:rsidRDefault="0040381B" w:rsidP="0040381B">
      <w:r>
        <w:fldChar w:fldCharType="end"/>
      </w:r>
    </w:p>
    <w:p w14:paraId="667B8E01" w14:textId="15307D9F" w:rsidR="007C3640" w:rsidRPr="00654BF9" w:rsidRDefault="007C3640" w:rsidP="0040381B">
      <w:pPr>
        <w:pStyle w:val="Heading1"/>
        <w:ind w:firstLine="0"/>
      </w:pPr>
      <w:r>
        <w:br w:type="page"/>
      </w:r>
    </w:p>
    <w:p w14:paraId="13233D47" w14:textId="4F695021" w:rsidR="000A336D" w:rsidRDefault="3D0B5717" w:rsidP="009515E4">
      <w:pPr>
        <w:pStyle w:val="Heading1"/>
        <w:rPr>
          <w:kern w:val="36"/>
          <w:sz w:val="32"/>
          <w:szCs w:val="32"/>
        </w:rPr>
      </w:pPr>
      <w:bookmarkStart w:id="41" w:name="_Toc225876193"/>
      <w:r>
        <w:t>Executive Summary</w:t>
      </w:r>
      <w:bookmarkEnd w:id="31"/>
      <w:bookmarkEnd w:id="32"/>
      <w:bookmarkEnd w:id="33"/>
      <w:bookmarkEnd w:id="34"/>
      <w:bookmarkEnd w:id="35"/>
      <w:bookmarkEnd w:id="36"/>
      <w:bookmarkEnd w:id="37"/>
      <w:bookmarkEnd w:id="38"/>
      <w:bookmarkEnd w:id="39"/>
      <w:bookmarkEnd w:id="41"/>
    </w:p>
    <w:p w14:paraId="4B43498C" w14:textId="77777777" w:rsidR="00D404FB" w:rsidRDefault="00D404FB" w:rsidP="009515E4">
      <w:pPr>
        <w:rPr>
          <w:lang w:eastAsia="en-CA"/>
        </w:rPr>
      </w:pPr>
      <w:r>
        <w:t>This condensed research summary synthesizes findings from a year-long mixed-methods study conducted by the CNIB Research team under a grant from Accessibility Standards Canada (ASC) (project period: March 2022–March 2023; report date: March 31, 2023). The study examined why public access denials and related barriers continue to be experienced by guide dog handlers in Canada despite longstanding provincial legislative protections and human rights frameworks. This summary presents the study’s design, key empirical results, and policy-relevant inferences in a concise academic format.</w:t>
      </w:r>
    </w:p>
    <w:p w14:paraId="60608C37" w14:textId="77777777" w:rsidR="00D404FB" w:rsidRDefault="00D404FB" w:rsidP="009515E4">
      <w:pPr>
        <w:rPr>
          <w:lang w:eastAsia="en-CA"/>
        </w:rPr>
      </w:pPr>
      <w:r>
        <w:rPr>
          <w:b/>
        </w:rPr>
        <w:t>Evidence-base:</w:t>
      </w:r>
      <w:r>
        <w:t xml:space="preserve"> Data sources included a jurisdictional scan of guide dog access legislation, regulations, and policies across Canada (10 provinces and 3 territories) and selected international jurisdictions (including the United States under the ADA and guide dog legislation in 30 U.S. states, plus additional countries across multiple continents), conducted in March–April 2022; a Guide Dog Access Project Advisory Committee of 15 guide dog handlers from across Canada, with meetings held in June 2022, October 2022, January 2023, and March 2023, plus a co-design session on September 15, 2022; five co-design sessions (June 2022; September 2022; and three sessions in March 2023) comprised almost exclusively of guide dog handlers; seven Zoom focus groups held November 9–December 16, 2022 with 31 participants, plus a small “deep dive” follow-up meeting on December 19, 2022 with four prior participants; the Guide Dog Handlers Experiences Survey (September–December 2022), which received 546 complete responses from guide dog handlers invited worldwide (97.1% of respondents lived in Canada); a public attitudes survey conducted by Ipsos Reid (August 16–22, 2022) with 1,001 Canadians across all regions and demographic categories; and a key informant interview with Canadian Transportation Agency representatives on November 22, 2022 (notes taken, no recording).</w:t>
      </w:r>
    </w:p>
    <w:p w14:paraId="79ACA8B0" w14:textId="77777777" w:rsidR="004A6CB2" w:rsidRDefault="004A6CB2" w:rsidP="009515E4">
      <w:pPr>
        <w:rPr>
          <w:lang w:eastAsia="en-CA"/>
        </w:rPr>
      </w:pPr>
      <w:r>
        <w:rPr>
          <w:b/>
        </w:rPr>
        <w:t>Key findings (high-level):</w:t>
      </w:r>
      <w:r>
        <w:t xml:space="preserve"> Barriers remain common: in the Guide Dog Handlers Experiences Survey, 52.9% reported having experienced public access barriers; among those, 86.6% reported barriers occurring within the last five years. Transportation emerged as a leading concern: survey respondents reported refusals by transportation providers and difficulties accessing transportation terminals, and qualitative findings emphasized recurring issues with taxis and ride-shares and inconsistent airline practices. “Patchwork” governance was repeatedly cited: stakeholders described inconsistencies across provinces/territories in definitions, certification/identification expectations, and enforcement approaches. Behaviour versus documentation is a central tension: across consultations, many participants emphasized behaviour (control and conduct in public) as the key marker of a legitimate working guide dog, while also noting growing pressure to “prove” legitimacy via identification. Enforcement and recourse mechanisms were viewed as inadequate: participants described slow or burdensome complaint pathways (including human rights processes) and inconsistent front-line awareness of applicable guide dog access laws. Public awareness gaps are measurable: the Ipsos survey described substantial uncertainty about guide dogs and related etiquette, and many respondents reported limited contact with guide dog users.</w:t>
      </w:r>
    </w:p>
    <w:p w14:paraId="112E953B" w14:textId="77777777" w:rsidR="004A6CB2" w:rsidRDefault="004A6CB2" w:rsidP="009515E4">
      <w:pPr>
        <w:rPr>
          <w:lang w:eastAsia="en-CA"/>
        </w:rPr>
      </w:pPr>
      <w:r>
        <w:rPr>
          <w:b/>
        </w:rPr>
        <w:t>Implications (aligned to the study recommendations):</w:t>
      </w:r>
      <w:r>
        <w:t xml:space="preserve"> Strengthen consistent, practical implementation of guide dog public access rights across sectors (notably transportation), with clearer operational processes and staff training. Emphasize behaviour-based understanding of working guide dogs in public education and service-provider training, while minimizing avoidable burdens on handlers to disclose personal information. Improve the timeliness and accessibility of complaint and redress pathways and increase front-line awareness of applicable enforcement mechanisms. Invest in broad public education initiatives with national reach and measurable outcomes, including integration into education and professional training contexts.</w:t>
      </w:r>
    </w:p>
    <w:p w14:paraId="6E04A8C6" w14:textId="77777777" w:rsidR="000A336D" w:rsidRDefault="3D0B5717" w:rsidP="009515E4">
      <w:pPr>
        <w:pStyle w:val="Heading1"/>
        <w:rPr>
          <w:kern w:val="36"/>
          <w:sz w:val="32"/>
          <w:szCs w:val="32"/>
        </w:rPr>
      </w:pPr>
      <w:bookmarkStart w:id="42" w:name="_Toc1784578540"/>
      <w:bookmarkStart w:id="43" w:name="_Toc1520289813"/>
      <w:bookmarkStart w:id="44" w:name="_Toc613222566"/>
      <w:bookmarkStart w:id="45" w:name="_Toc1041977111"/>
      <w:bookmarkStart w:id="46" w:name="_Toc1659141334"/>
      <w:bookmarkStart w:id="47" w:name="_Toc1517749227"/>
      <w:bookmarkStart w:id="48" w:name="_Toc1279685133"/>
      <w:bookmarkStart w:id="49" w:name="_Toc1591627627"/>
      <w:bookmarkStart w:id="50" w:name="_Toc135756304"/>
      <w:bookmarkStart w:id="51" w:name="_Toc225876194"/>
      <w:r>
        <w:t>1. Introduction</w:t>
      </w:r>
      <w:bookmarkEnd w:id="42"/>
      <w:bookmarkEnd w:id="43"/>
      <w:bookmarkEnd w:id="44"/>
      <w:bookmarkEnd w:id="45"/>
      <w:bookmarkEnd w:id="46"/>
      <w:bookmarkEnd w:id="47"/>
      <w:bookmarkEnd w:id="48"/>
      <w:bookmarkEnd w:id="49"/>
      <w:bookmarkEnd w:id="50"/>
      <w:bookmarkEnd w:id="51"/>
    </w:p>
    <w:p w14:paraId="43CB9D0E" w14:textId="77777777" w:rsidR="000A336D" w:rsidRDefault="3D0B5717" w:rsidP="009515E4">
      <w:pPr>
        <w:pStyle w:val="Heading2"/>
        <w:rPr>
          <w:sz w:val="30"/>
          <w:szCs w:val="30"/>
        </w:rPr>
      </w:pPr>
      <w:bookmarkStart w:id="52" w:name="_Toc1587424502"/>
      <w:bookmarkStart w:id="53" w:name="_Toc301913104"/>
      <w:bookmarkStart w:id="54" w:name="_Toc683387256"/>
      <w:bookmarkStart w:id="55" w:name="_Toc47603448"/>
      <w:bookmarkStart w:id="56" w:name="_Toc2009585565"/>
      <w:bookmarkStart w:id="57" w:name="_Toc853985056"/>
      <w:bookmarkStart w:id="58" w:name="_Toc1807474"/>
      <w:bookmarkStart w:id="59" w:name="_Toc913455729"/>
      <w:bookmarkStart w:id="60" w:name="_Toc295385644"/>
      <w:bookmarkStart w:id="61" w:name="_Toc225876195"/>
      <w:r>
        <w:t>1.1 Study aims and research questions</w:t>
      </w:r>
      <w:bookmarkEnd w:id="52"/>
      <w:bookmarkEnd w:id="53"/>
      <w:bookmarkEnd w:id="54"/>
      <w:bookmarkEnd w:id="55"/>
      <w:bookmarkEnd w:id="56"/>
      <w:bookmarkEnd w:id="57"/>
      <w:bookmarkEnd w:id="58"/>
      <w:bookmarkEnd w:id="59"/>
      <w:bookmarkEnd w:id="60"/>
      <w:bookmarkEnd w:id="61"/>
    </w:p>
    <w:p w14:paraId="76C2ADCA" w14:textId="77777777" w:rsidR="00D404FB" w:rsidRDefault="00D404FB" w:rsidP="009515E4">
      <w:pPr>
        <w:rPr>
          <w:lang w:eastAsia="en-CA"/>
        </w:rPr>
      </w:pPr>
      <w:r>
        <w:t>The overarching purpose of the research was to determine what guide dog access barriers exist in Canada and to inform interventions to improve access outcomes for guide dog handlers across jurisdictions. For the purposes of this condensed summary, the study aims can be expressed as:</w:t>
      </w:r>
    </w:p>
    <w:p w14:paraId="29294537" w14:textId="797BF1BA" w:rsidR="000A336D" w:rsidRDefault="3D0B5717" w:rsidP="009515E4">
      <w:r w:rsidRPr="6A0D869D">
        <w:t>Document the extent and contexts of reported access barriers experienced by guide dog handlers across a range of public settings in Canada (including transportation and education), using descriptive survey methods.</w:t>
      </w:r>
    </w:p>
    <w:p w14:paraId="545E3BDA" w14:textId="4F1302BD" w:rsidR="000A336D" w:rsidRDefault="3D0B5717" w:rsidP="009515E4">
      <w:r w:rsidRPr="6A0D869D">
        <w:t>Characterize mechanisms and lived-experience pathways contributing to access denials (e.g., identification expectations, behavioural standards, enforcement and recourse), using stakeholder engagement, co-design, and focus groups.</w:t>
      </w:r>
    </w:p>
    <w:p w14:paraId="3E2AFEC0" w14:textId="77777777" w:rsidR="000A336D" w:rsidRDefault="3D0B5717" w:rsidP="009515E4">
      <w:r w:rsidRPr="6A0D869D">
        <w:t xml:space="preserve">Establish a baseline synthesis of legal, regulatory, and policy approaches to guide dog access across Canadian jurisdictions and selected international </w:t>
      </w:r>
      <w:proofErr w:type="gramStart"/>
      <w:r w:rsidRPr="6A0D869D">
        <w:t>comparators, and</w:t>
      </w:r>
      <w:proofErr w:type="gramEnd"/>
      <w:r w:rsidRPr="6A0D869D">
        <w:t xml:space="preserve"> identify key points of divergence.</w:t>
      </w:r>
    </w:p>
    <w:p w14:paraId="7B890580" w14:textId="77777777" w:rsidR="00420556" w:rsidRDefault="00420556" w:rsidP="009515E4">
      <w:pPr>
        <w:rPr>
          <w:lang w:eastAsia="en-CA"/>
        </w:rPr>
      </w:pPr>
      <w:r>
        <w:t>Identify policy and practice levers (across jurisdictions and sectors) that the evidence suggests could reduce access denials and support social participation for guide dog handlers.</w:t>
      </w:r>
    </w:p>
    <w:p w14:paraId="7B3AD18F" w14:textId="77777777" w:rsidR="00D404FB" w:rsidRPr="0063458C" w:rsidRDefault="00D404FB" w:rsidP="009515E4">
      <w:pPr>
        <w:rPr>
          <w:lang w:eastAsia="en-CA"/>
        </w:rPr>
      </w:pPr>
      <w:r w:rsidRPr="0063458C">
        <w:t>These aims were pursued through triangulation across legal/policy review, stakeholder engagement, and survey evidence.</w:t>
      </w:r>
    </w:p>
    <w:p w14:paraId="3AAEF297" w14:textId="77777777" w:rsidR="00D404FB" w:rsidRDefault="00D404FB" w:rsidP="009515E4">
      <w:pPr>
        <w:rPr>
          <w:lang w:eastAsia="en-CA"/>
        </w:rPr>
      </w:pPr>
      <w:r>
        <w:t>Guide dogs have been formally operating in Canada for decades, alongside longstanding provincial legislative protections (e.g., Ontario’s Blind Persons’ Rights Act introduced in 1970). Nevertheless, access denials continue to occur “on a regular basis.” The purpose of the underlying study was to determine what guide dog access barriers exist in Canada and to identify interventions that could improve access outcomes for guide dog handlers across jurisdictions.</w:t>
      </w:r>
    </w:p>
    <w:p w14:paraId="3B0D76D0" w14:textId="77777777" w:rsidR="000A336D" w:rsidRDefault="000A336D" w:rsidP="009515E4">
      <w:r>
        <w:t>Consistent with ASC’s requested scope, the study focused primarily on guide dogs (and, where relevant, related questions about how “service animals” are defined and recognized), rather than broader categories such as emotional support or therapy animals unless linked to a documented disability. A recurring finding throughout the report is that many practical disputes in public settings turn on how guide and service animals are identified and understood by the public, businesses, and service providers.</w:t>
      </w:r>
    </w:p>
    <w:p w14:paraId="2A7122CC" w14:textId="77777777" w:rsidR="00D404FB" w:rsidRDefault="00D404FB" w:rsidP="009515E4">
      <w:pPr>
        <w:rPr>
          <w:lang w:eastAsia="en-CA"/>
        </w:rPr>
      </w:pPr>
      <w:r>
        <w:t>The study situates this problem historically, noting that Canada’s first guide dog school opened in 1981 (Mira Foundation) and that provincial legislative protections date back at least to 1970 (e.g., Ontario’s Blind Persons’ Rights Act). It argues that, notwithstanding these protections, access denials remain persistent and may be intensifying in some contexts, contributing to what some consulted participants described as a “crisis.”</w:t>
      </w:r>
    </w:p>
    <w:p w14:paraId="2C97B562" w14:textId="77777777" w:rsidR="00D404FB" w:rsidRDefault="00D404FB" w:rsidP="009515E4">
      <w:pPr>
        <w:rPr>
          <w:lang w:eastAsia="en-CA"/>
        </w:rPr>
      </w:pPr>
      <w:bookmarkStart w:id="62" w:name="_Toc1020630492"/>
      <w:bookmarkStart w:id="63" w:name="_Toc1656547231"/>
      <w:bookmarkStart w:id="64" w:name="_Toc700597818"/>
      <w:bookmarkStart w:id="65" w:name="_Toc1399194391"/>
      <w:bookmarkStart w:id="66" w:name="_Toc1276613548"/>
      <w:bookmarkStart w:id="67" w:name="_Toc950421240"/>
      <w:bookmarkStart w:id="68" w:name="_Toc1557134761"/>
      <w:bookmarkStart w:id="69" w:name="_Toc1757059758"/>
      <w:bookmarkStart w:id="70" w:name="_Toc573210413"/>
      <w:r>
        <w:t xml:space="preserve">Consistent with this framing, this work largely excludes emotional support and therapy animals (except </w:t>
      </w:r>
      <w:proofErr w:type="gramStart"/>
      <w:r>
        <w:t>where</w:t>
      </w:r>
      <w:proofErr w:type="gramEnd"/>
      <w:r>
        <w:t xml:space="preserve"> tied to a documented disability) and intentionally avoids labels such as “fake” or “fraudulent” service dogs. It emphasizes that authenticity in public settings is not necessarily verifiable through documentation alone and that observed working behaviour is often treated by stakeholders as a more meaningful indicator of a legitimate working guide dog.</w:t>
      </w:r>
    </w:p>
    <w:p w14:paraId="1B790973" w14:textId="77777777" w:rsidR="000A336D" w:rsidRDefault="3D0B5717" w:rsidP="009515E4">
      <w:pPr>
        <w:pStyle w:val="Heading1"/>
        <w:rPr>
          <w:kern w:val="36"/>
          <w:sz w:val="32"/>
          <w:szCs w:val="32"/>
        </w:rPr>
      </w:pPr>
      <w:bookmarkStart w:id="71" w:name="_Toc225876196"/>
      <w:r>
        <w:t>2. Background / Context</w:t>
      </w:r>
      <w:bookmarkEnd w:id="62"/>
      <w:bookmarkEnd w:id="63"/>
      <w:bookmarkEnd w:id="64"/>
      <w:bookmarkEnd w:id="65"/>
      <w:bookmarkEnd w:id="66"/>
      <w:bookmarkEnd w:id="67"/>
      <w:bookmarkEnd w:id="68"/>
      <w:bookmarkEnd w:id="69"/>
      <w:bookmarkEnd w:id="70"/>
      <w:bookmarkEnd w:id="71"/>
    </w:p>
    <w:p w14:paraId="4FA2A15F" w14:textId="77777777" w:rsidR="00D404FB" w:rsidRDefault="00D404FB" w:rsidP="009515E4">
      <w:pPr>
        <w:rPr>
          <w:lang w:eastAsia="en-CA"/>
        </w:rPr>
      </w:pPr>
      <w:r>
        <w:t>Across jurisdictions, terminology varies (e.g., “guide dog,” “service dog,” “assistance dog,” “disability assist dog”), but a key issue is whether the animal is needed to remediate a disability and what tasks it performs. The jurisdictional review also describes approaches that limit questioning of handlers in public settings, particularly where it is already apparent that the dog is trained to perform disability-related tasks.</w:t>
      </w:r>
    </w:p>
    <w:p w14:paraId="4D8302FD" w14:textId="77777777" w:rsidR="00D404FB" w:rsidRDefault="00D404FB" w:rsidP="009515E4">
      <w:pPr>
        <w:rPr>
          <w:lang w:eastAsia="en-CA"/>
        </w:rPr>
      </w:pPr>
      <w:r>
        <w:t>“Public access” is defined here as access to venues, facilities, programs, and services open to the public (e.g., restaurants, retail, recreation, healthcare, places of worship), including transportation (taxis/ride-share, air, rail, bus, ferry) and access to housing, education, and employment settings. Common exceptions across jurisdictions include certain sterile or food preparation areas; where access is legally restricted, alternative accommodation may be required.</w:t>
      </w:r>
    </w:p>
    <w:p w14:paraId="4780A38C" w14:textId="77777777" w:rsidR="00D404FB" w:rsidRDefault="00D404FB" w:rsidP="009515E4">
      <w:pPr>
        <w:rPr>
          <w:lang w:eastAsia="en-CA"/>
        </w:rPr>
      </w:pPr>
      <w:bookmarkStart w:id="72" w:name="_Toc1568237883"/>
      <w:bookmarkStart w:id="73" w:name="_Toc154819921"/>
      <w:bookmarkStart w:id="74" w:name="_Toc763981010"/>
      <w:bookmarkStart w:id="75" w:name="_Toc2133921102"/>
      <w:bookmarkStart w:id="76" w:name="_Toc1628398326"/>
      <w:bookmarkStart w:id="77" w:name="_Toc174940537"/>
      <w:bookmarkStart w:id="78" w:name="_Toc1596977671"/>
      <w:bookmarkStart w:id="79" w:name="_Toc623116743"/>
      <w:bookmarkStart w:id="80" w:name="_Toc2116041492"/>
      <w:r>
        <w:t>A central theme across the evidence is a “patchwork of inconsistencies” across provinces and territories, including differences in whether jurisdictions emphasize certification/identification requirements or rely more strongly on behaviour and control standards in public settings. Across stakeholder inputs, there was concern about growing expectations for handlers to “prove” legitimacy (e.g., by producing identification) and about uneven enforcement and slow recourse mechanisms when access denials occur.</w:t>
      </w:r>
    </w:p>
    <w:p w14:paraId="73349C4C" w14:textId="77777777" w:rsidR="000A336D" w:rsidRDefault="3D0B5717" w:rsidP="009515E4">
      <w:pPr>
        <w:pStyle w:val="Heading1"/>
        <w:rPr>
          <w:kern w:val="36"/>
          <w:sz w:val="32"/>
          <w:szCs w:val="32"/>
        </w:rPr>
      </w:pPr>
      <w:bookmarkStart w:id="81" w:name="_Toc225876197"/>
      <w:r>
        <w:t>3. Methods</w:t>
      </w:r>
      <w:bookmarkEnd w:id="72"/>
      <w:bookmarkEnd w:id="73"/>
      <w:bookmarkEnd w:id="74"/>
      <w:bookmarkEnd w:id="75"/>
      <w:bookmarkEnd w:id="76"/>
      <w:bookmarkEnd w:id="77"/>
      <w:bookmarkEnd w:id="78"/>
      <w:bookmarkEnd w:id="79"/>
      <w:bookmarkEnd w:id="80"/>
      <w:bookmarkEnd w:id="81"/>
    </w:p>
    <w:p w14:paraId="445CF5E3" w14:textId="77777777" w:rsidR="000A336D" w:rsidRDefault="3D0B5717" w:rsidP="009515E4">
      <w:pPr>
        <w:pStyle w:val="Heading2"/>
        <w:rPr>
          <w:sz w:val="30"/>
          <w:szCs w:val="30"/>
        </w:rPr>
      </w:pPr>
      <w:bookmarkStart w:id="82" w:name="_Toc1842662169"/>
      <w:bookmarkStart w:id="83" w:name="_Toc807351799"/>
      <w:bookmarkStart w:id="84" w:name="_Toc827427067"/>
      <w:bookmarkStart w:id="85" w:name="_Toc278599043"/>
      <w:bookmarkStart w:id="86" w:name="_Toc1882589217"/>
      <w:bookmarkStart w:id="87" w:name="_Toc1649986126"/>
      <w:bookmarkStart w:id="88" w:name="_Toc1368023357"/>
      <w:bookmarkStart w:id="89" w:name="_Toc1423681348"/>
      <w:bookmarkStart w:id="90" w:name="_Toc265264133"/>
      <w:bookmarkStart w:id="91" w:name="_Toc225876198"/>
      <w:r>
        <w:t>3.1 Study design</w:t>
      </w:r>
      <w:bookmarkEnd w:id="82"/>
      <w:bookmarkEnd w:id="83"/>
      <w:bookmarkEnd w:id="84"/>
      <w:bookmarkEnd w:id="85"/>
      <w:bookmarkEnd w:id="86"/>
      <w:bookmarkEnd w:id="87"/>
      <w:bookmarkEnd w:id="88"/>
      <w:bookmarkEnd w:id="89"/>
      <w:bookmarkEnd w:id="90"/>
      <w:bookmarkEnd w:id="91"/>
    </w:p>
    <w:p w14:paraId="45AB9617" w14:textId="77777777" w:rsidR="00D404FB" w:rsidRDefault="00D404FB" w:rsidP="009515E4">
      <w:pPr>
        <w:rPr>
          <w:lang w:eastAsia="en-CA"/>
        </w:rPr>
      </w:pPr>
      <w:bookmarkStart w:id="92" w:name="_Toc1063282552"/>
      <w:bookmarkStart w:id="93" w:name="_Toc756124446"/>
      <w:bookmarkStart w:id="94" w:name="_Toc412369630"/>
      <w:bookmarkStart w:id="95" w:name="_Toc240205412"/>
      <w:bookmarkStart w:id="96" w:name="_Toc1135745688"/>
      <w:bookmarkStart w:id="97" w:name="_Toc1060929854"/>
      <w:bookmarkStart w:id="98" w:name="_Toc1996192422"/>
      <w:bookmarkStart w:id="99" w:name="_Toc1553608929"/>
      <w:bookmarkStart w:id="100" w:name="_Toc1680358765"/>
      <w:r>
        <w:t>The study used a mixed-methods approach combining: (1) a jurisdictional review of legislation, regulations, and policies; (2) stakeholder engagement via an advisory committee and co-design sessions; (3) focus groups; (4) survey research with guide dog handlers; (5) a national public attitudes survey; and (6) a key informant interview with the Canadian Transportation Agency.</w:t>
      </w:r>
    </w:p>
    <w:p w14:paraId="0611268A" w14:textId="7B07C0B1" w:rsidR="3D0B5717" w:rsidRDefault="3D0B5717" w:rsidP="009515E4">
      <w:pPr>
        <w:pStyle w:val="Heading2"/>
      </w:pPr>
      <w:bookmarkStart w:id="101" w:name="_Toc225876199"/>
      <w:r>
        <w:t>3.2 Data sources and participant</w:t>
      </w:r>
      <w:bookmarkEnd w:id="92"/>
      <w:bookmarkEnd w:id="93"/>
      <w:bookmarkEnd w:id="94"/>
      <w:bookmarkEnd w:id="95"/>
      <w:bookmarkEnd w:id="96"/>
      <w:bookmarkEnd w:id="97"/>
      <w:bookmarkEnd w:id="98"/>
      <w:bookmarkEnd w:id="99"/>
      <w:bookmarkEnd w:id="100"/>
      <w:bookmarkEnd w:id="101"/>
    </w:p>
    <w:p w14:paraId="62EA0E9E" w14:textId="63DF9F11" w:rsidR="6A0D869D" w:rsidRDefault="6A0D869D" w:rsidP="009515E4"/>
    <w:p w14:paraId="31A2827B" w14:textId="57B53DA5" w:rsidR="003B0C12" w:rsidRDefault="003B0C12" w:rsidP="009515E4">
      <w:pPr>
        <w:pStyle w:val="Caption"/>
      </w:pPr>
      <w:bookmarkStart w:id="102" w:name="_Toc225876245"/>
      <w:r>
        <w:t xml:space="preserve">Table </w:t>
      </w:r>
      <w:r>
        <w:fldChar w:fldCharType="begin"/>
      </w:r>
      <w:r>
        <w:instrText xml:space="preserve"> SEQ Table \* ARABIC </w:instrText>
      </w:r>
      <w:r>
        <w:fldChar w:fldCharType="separate"/>
      </w:r>
      <w:r w:rsidR="00085764">
        <w:rPr>
          <w:noProof/>
        </w:rPr>
        <w:t>1</w:t>
      </w:r>
      <w:r>
        <w:fldChar w:fldCharType="end"/>
      </w:r>
      <w:r>
        <w:t xml:space="preserve"> </w:t>
      </w:r>
      <w:r w:rsidRPr="003B0C12">
        <w:t>Respondent characteristics (Guide Dog Handlers Experiences Survey; n=546 complete responses)</w:t>
      </w:r>
      <w:bookmarkEnd w:id="102"/>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25"/>
        <w:gridCol w:w="1865"/>
      </w:tblGrid>
      <w:tr w:rsidR="000A336D" w14:paraId="5B2D2105" w14:textId="77777777" w:rsidTr="001113DB">
        <w:trPr>
          <w:cantSplit/>
          <w:tblHeader/>
          <w:tblCellSpacing w:w="15" w:type="dxa"/>
        </w:trPr>
        <w:tc>
          <w:tcPr>
            <w:tcW w:w="0" w:type="auto"/>
            <w:gridSpan w:val="2"/>
            <w:tcBorders>
              <w:top w:val="single" w:sz="8" w:space="0" w:color="auto"/>
              <w:left w:val="single" w:sz="8" w:space="0" w:color="auto"/>
              <w:bottom w:val="single" w:sz="8" w:space="0" w:color="auto"/>
              <w:right w:val="single" w:sz="8" w:space="0" w:color="auto"/>
            </w:tcBorders>
            <w:vAlign w:val="center"/>
            <w:hideMark/>
          </w:tcPr>
          <w:p w14:paraId="3AEAC24F" w14:textId="77777777" w:rsidR="000A336D" w:rsidRPr="001113DB" w:rsidRDefault="000A336D" w:rsidP="009515E4">
            <w:pPr>
              <w:rPr>
                <w:b/>
                <w:bCs/>
              </w:rPr>
            </w:pPr>
            <w:r w:rsidRPr="001113DB">
              <w:rPr>
                <w:b/>
                <w:bCs/>
              </w:rPr>
              <w:t>Canadian province distribution (percent of total respondents)</w:t>
            </w:r>
          </w:p>
        </w:tc>
      </w:tr>
      <w:tr w:rsidR="000A336D" w14:paraId="4C2D16B2"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D58B23A" w14:textId="77777777" w:rsidR="000A336D" w:rsidRDefault="000A336D" w:rsidP="009515E4">
            <w:pPr>
              <w:rPr>
                <w:rFonts w:eastAsia="Verdana"/>
              </w:rPr>
            </w:pPr>
            <w:r>
              <w:t>Ontario</w:t>
            </w:r>
          </w:p>
        </w:tc>
        <w:tc>
          <w:tcPr>
            <w:tcW w:w="959" w:type="pct"/>
            <w:tcBorders>
              <w:top w:val="single" w:sz="8" w:space="0" w:color="auto"/>
              <w:left w:val="single" w:sz="8" w:space="0" w:color="auto"/>
              <w:bottom w:val="single" w:sz="8" w:space="0" w:color="auto"/>
              <w:right w:val="single" w:sz="8" w:space="0" w:color="auto"/>
            </w:tcBorders>
            <w:vAlign w:val="center"/>
            <w:hideMark/>
          </w:tcPr>
          <w:p w14:paraId="7EBA4D1C" w14:textId="77777777" w:rsidR="000A336D" w:rsidRDefault="000A336D" w:rsidP="009515E4">
            <w:r>
              <w:t>44.3%</w:t>
            </w:r>
          </w:p>
        </w:tc>
      </w:tr>
      <w:tr w:rsidR="000A336D" w14:paraId="3D12068D"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78CC7750" w14:textId="77777777" w:rsidR="000A336D" w:rsidRDefault="000A336D" w:rsidP="009515E4">
            <w:r>
              <w:t>British Columbia</w:t>
            </w:r>
          </w:p>
        </w:tc>
        <w:tc>
          <w:tcPr>
            <w:tcW w:w="959" w:type="pct"/>
            <w:tcBorders>
              <w:top w:val="single" w:sz="8" w:space="0" w:color="auto"/>
              <w:left w:val="single" w:sz="8" w:space="0" w:color="auto"/>
              <w:bottom w:val="single" w:sz="8" w:space="0" w:color="auto"/>
              <w:right w:val="single" w:sz="8" w:space="0" w:color="auto"/>
            </w:tcBorders>
            <w:vAlign w:val="center"/>
            <w:hideMark/>
          </w:tcPr>
          <w:p w14:paraId="570A314C" w14:textId="77777777" w:rsidR="000A336D" w:rsidRDefault="000A336D" w:rsidP="009515E4">
            <w:r>
              <w:t>21.7%</w:t>
            </w:r>
          </w:p>
        </w:tc>
      </w:tr>
      <w:tr w:rsidR="000A336D" w14:paraId="74F9FD60"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7792362C" w14:textId="77777777" w:rsidR="000A336D" w:rsidRDefault="000A336D" w:rsidP="009515E4">
            <w:r>
              <w:t>Alberta</w:t>
            </w:r>
          </w:p>
        </w:tc>
        <w:tc>
          <w:tcPr>
            <w:tcW w:w="959" w:type="pct"/>
            <w:tcBorders>
              <w:top w:val="single" w:sz="8" w:space="0" w:color="auto"/>
              <w:left w:val="single" w:sz="8" w:space="0" w:color="auto"/>
              <w:bottom w:val="single" w:sz="8" w:space="0" w:color="auto"/>
              <w:right w:val="single" w:sz="8" w:space="0" w:color="auto"/>
            </w:tcBorders>
            <w:vAlign w:val="center"/>
            <w:hideMark/>
          </w:tcPr>
          <w:p w14:paraId="3F3525DA" w14:textId="77777777" w:rsidR="000A336D" w:rsidRDefault="000A336D" w:rsidP="009515E4">
            <w:r>
              <w:t>9.6%</w:t>
            </w:r>
          </w:p>
        </w:tc>
      </w:tr>
      <w:tr w:rsidR="000A336D" w14:paraId="5FE7C5A5"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357A3C45" w14:textId="77777777" w:rsidR="000A336D" w:rsidRDefault="000A336D" w:rsidP="009515E4">
            <w:r>
              <w:t>Manitoba</w:t>
            </w:r>
          </w:p>
        </w:tc>
        <w:tc>
          <w:tcPr>
            <w:tcW w:w="959" w:type="pct"/>
            <w:tcBorders>
              <w:top w:val="single" w:sz="8" w:space="0" w:color="auto"/>
              <w:left w:val="single" w:sz="8" w:space="0" w:color="auto"/>
              <w:bottom w:val="single" w:sz="8" w:space="0" w:color="auto"/>
              <w:right w:val="single" w:sz="8" w:space="0" w:color="auto"/>
            </w:tcBorders>
            <w:vAlign w:val="center"/>
            <w:hideMark/>
          </w:tcPr>
          <w:p w14:paraId="2D66E83A" w14:textId="77777777" w:rsidR="000A336D" w:rsidRDefault="000A336D" w:rsidP="009515E4">
            <w:r>
              <w:t>6.5%</w:t>
            </w:r>
          </w:p>
        </w:tc>
      </w:tr>
      <w:tr w:rsidR="000A336D" w14:paraId="4CC1EE43"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59963D35" w14:textId="77777777" w:rsidR="000A336D" w:rsidRDefault="000A336D" w:rsidP="009515E4">
            <w:r>
              <w:t>New Brunswick</w:t>
            </w:r>
          </w:p>
        </w:tc>
        <w:tc>
          <w:tcPr>
            <w:tcW w:w="959" w:type="pct"/>
            <w:tcBorders>
              <w:top w:val="single" w:sz="8" w:space="0" w:color="auto"/>
              <w:left w:val="single" w:sz="8" w:space="0" w:color="auto"/>
              <w:bottom w:val="single" w:sz="8" w:space="0" w:color="auto"/>
              <w:right w:val="single" w:sz="8" w:space="0" w:color="auto"/>
            </w:tcBorders>
            <w:vAlign w:val="center"/>
            <w:hideMark/>
          </w:tcPr>
          <w:p w14:paraId="73B6F42A" w14:textId="77777777" w:rsidR="000A336D" w:rsidRDefault="000A336D" w:rsidP="009515E4">
            <w:r>
              <w:t>4.5%</w:t>
            </w:r>
          </w:p>
        </w:tc>
      </w:tr>
      <w:tr w:rsidR="000A336D" w14:paraId="78CE7F8C"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46DE55AF" w14:textId="77777777" w:rsidR="000A336D" w:rsidRDefault="000A336D" w:rsidP="009515E4">
            <w:r>
              <w:t>Nova Scotia</w:t>
            </w:r>
          </w:p>
        </w:tc>
        <w:tc>
          <w:tcPr>
            <w:tcW w:w="959" w:type="pct"/>
            <w:tcBorders>
              <w:top w:val="single" w:sz="8" w:space="0" w:color="auto"/>
              <w:left w:val="single" w:sz="8" w:space="0" w:color="auto"/>
              <w:bottom w:val="single" w:sz="8" w:space="0" w:color="auto"/>
              <w:right w:val="single" w:sz="8" w:space="0" w:color="auto"/>
            </w:tcBorders>
            <w:vAlign w:val="center"/>
            <w:hideMark/>
          </w:tcPr>
          <w:p w14:paraId="5A89F024" w14:textId="77777777" w:rsidR="000A336D" w:rsidRDefault="000A336D" w:rsidP="009515E4">
            <w:r>
              <w:t>3.3%</w:t>
            </w:r>
          </w:p>
        </w:tc>
      </w:tr>
      <w:tr w:rsidR="000A336D" w14:paraId="44BB8B34"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5002256" w14:textId="77777777" w:rsidR="000A336D" w:rsidRDefault="000A336D" w:rsidP="009515E4">
            <w:r>
              <w:t>Saskatchewan</w:t>
            </w:r>
          </w:p>
        </w:tc>
        <w:tc>
          <w:tcPr>
            <w:tcW w:w="959" w:type="pct"/>
            <w:tcBorders>
              <w:top w:val="single" w:sz="8" w:space="0" w:color="auto"/>
              <w:left w:val="single" w:sz="8" w:space="0" w:color="auto"/>
              <w:bottom w:val="single" w:sz="8" w:space="0" w:color="auto"/>
              <w:right w:val="single" w:sz="8" w:space="0" w:color="auto"/>
            </w:tcBorders>
            <w:vAlign w:val="center"/>
            <w:hideMark/>
          </w:tcPr>
          <w:p w14:paraId="1131F61E" w14:textId="77777777" w:rsidR="000A336D" w:rsidRDefault="000A336D" w:rsidP="009515E4">
            <w:r>
              <w:t>3.0%</w:t>
            </w:r>
          </w:p>
        </w:tc>
      </w:tr>
      <w:tr w:rsidR="000A336D" w14:paraId="52306F7C"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9D82D78" w14:textId="77777777" w:rsidR="000A336D" w:rsidRDefault="000A336D" w:rsidP="009515E4">
            <w:r>
              <w:t>Quebec</w:t>
            </w:r>
          </w:p>
        </w:tc>
        <w:tc>
          <w:tcPr>
            <w:tcW w:w="959" w:type="pct"/>
            <w:tcBorders>
              <w:top w:val="single" w:sz="8" w:space="0" w:color="auto"/>
              <w:left w:val="single" w:sz="8" w:space="0" w:color="auto"/>
              <w:bottom w:val="single" w:sz="8" w:space="0" w:color="auto"/>
              <w:right w:val="single" w:sz="8" w:space="0" w:color="auto"/>
            </w:tcBorders>
            <w:vAlign w:val="center"/>
            <w:hideMark/>
          </w:tcPr>
          <w:p w14:paraId="25553DCC" w14:textId="77777777" w:rsidR="000A336D" w:rsidRDefault="000A336D" w:rsidP="009515E4">
            <w:r>
              <w:t>2.8%</w:t>
            </w:r>
          </w:p>
        </w:tc>
      </w:tr>
      <w:tr w:rsidR="000A336D" w14:paraId="1CBA56F7"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731C09D" w14:textId="77777777" w:rsidR="000A336D" w:rsidRDefault="000A336D" w:rsidP="009515E4">
            <w:r>
              <w:t>Newfoundland and Labrador</w:t>
            </w:r>
          </w:p>
        </w:tc>
        <w:tc>
          <w:tcPr>
            <w:tcW w:w="959" w:type="pct"/>
            <w:tcBorders>
              <w:top w:val="single" w:sz="8" w:space="0" w:color="auto"/>
              <w:left w:val="single" w:sz="8" w:space="0" w:color="auto"/>
              <w:bottom w:val="single" w:sz="8" w:space="0" w:color="auto"/>
              <w:right w:val="single" w:sz="8" w:space="0" w:color="auto"/>
            </w:tcBorders>
            <w:vAlign w:val="center"/>
            <w:hideMark/>
          </w:tcPr>
          <w:p w14:paraId="3AB71556" w14:textId="77777777" w:rsidR="000A336D" w:rsidRDefault="000A336D" w:rsidP="009515E4">
            <w:r>
              <w:t>2.0%</w:t>
            </w:r>
          </w:p>
        </w:tc>
      </w:tr>
      <w:tr w:rsidR="000A336D" w14:paraId="4D4EB6BF"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33A70996" w14:textId="77777777" w:rsidR="000A336D" w:rsidRDefault="000A336D" w:rsidP="009515E4">
            <w:r>
              <w:t>Prince Edward Island</w:t>
            </w:r>
          </w:p>
        </w:tc>
        <w:tc>
          <w:tcPr>
            <w:tcW w:w="959" w:type="pct"/>
            <w:tcBorders>
              <w:top w:val="single" w:sz="8" w:space="0" w:color="auto"/>
              <w:left w:val="single" w:sz="8" w:space="0" w:color="auto"/>
              <w:bottom w:val="single" w:sz="8" w:space="0" w:color="auto"/>
              <w:right w:val="single" w:sz="8" w:space="0" w:color="auto"/>
            </w:tcBorders>
            <w:vAlign w:val="center"/>
            <w:hideMark/>
          </w:tcPr>
          <w:p w14:paraId="2A27A0C0" w14:textId="77777777" w:rsidR="000A336D" w:rsidRDefault="000A336D" w:rsidP="009515E4">
            <w:r>
              <w:t>1.0%</w:t>
            </w:r>
          </w:p>
        </w:tc>
      </w:tr>
      <w:tr w:rsidR="000A336D" w14:paraId="56ACF99F"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5FC5A4C9" w14:textId="77777777" w:rsidR="000A336D" w:rsidRDefault="000A336D" w:rsidP="009515E4">
            <w:r>
              <w:t>Nunavut</w:t>
            </w:r>
          </w:p>
        </w:tc>
        <w:tc>
          <w:tcPr>
            <w:tcW w:w="959" w:type="pct"/>
            <w:tcBorders>
              <w:top w:val="single" w:sz="8" w:space="0" w:color="auto"/>
              <w:left w:val="single" w:sz="8" w:space="0" w:color="auto"/>
              <w:bottom w:val="single" w:sz="8" w:space="0" w:color="auto"/>
              <w:right w:val="single" w:sz="8" w:space="0" w:color="auto"/>
            </w:tcBorders>
            <w:vAlign w:val="center"/>
            <w:hideMark/>
          </w:tcPr>
          <w:p w14:paraId="3C4FA656" w14:textId="77777777" w:rsidR="000A336D" w:rsidRDefault="000A336D" w:rsidP="009515E4">
            <w:r>
              <w:t>0.8%</w:t>
            </w:r>
          </w:p>
        </w:tc>
      </w:tr>
      <w:tr w:rsidR="000A336D" w14:paraId="5610DBC4"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44F1346F" w14:textId="77777777" w:rsidR="000A336D" w:rsidRDefault="000A336D" w:rsidP="009515E4">
            <w:r>
              <w:t>Northwest Territories</w:t>
            </w:r>
          </w:p>
        </w:tc>
        <w:tc>
          <w:tcPr>
            <w:tcW w:w="959" w:type="pct"/>
            <w:tcBorders>
              <w:top w:val="single" w:sz="8" w:space="0" w:color="auto"/>
              <w:left w:val="single" w:sz="8" w:space="0" w:color="auto"/>
              <w:bottom w:val="single" w:sz="8" w:space="0" w:color="auto"/>
              <w:right w:val="single" w:sz="8" w:space="0" w:color="auto"/>
            </w:tcBorders>
            <w:vAlign w:val="center"/>
            <w:hideMark/>
          </w:tcPr>
          <w:p w14:paraId="747560D6" w14:textId="77777777" w:rsidR="000A336D" w:rsidRDefault="000A336D" w:rsidP="009515E4">
            <w:r>
              <w:t>0.2%</w:t>
            </w:r>
          </w:p>
        </w:tc>
      </w:tr>
      <w:tr w:rsidR="000A336D" w14:paraId="2206B333"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5FCBC8F1" w14:textId="77777777" w:rsidR="000A336D" w:rsidRDefault="000A336D" w:rsidP="009515E4">
            <w:r>
              <w:t>Yukon</w:t>
            </w:r>
          </w:p>
        </w:tc>
        <w:tc>
          <w:tcPr>
            <w:tcW w:w="959" w:type="pct"/>
            <w:tcBorders>
              <w:top w:val="single" w:sz="8" w:space="0" w:color="auto"/>
              <w:left w:val="single" w:sz="8" w:space="0" w:color="auto"/>
              <w:bottom w:val="single" w:sz="8" w:space="0" w:color="auto"/>
              <w:right w:val="single" w:sz="8" w:space="0" w:color="auto"/>
            </w:tcBorders>
            <w:vAlign w:val="center"/>
            <w:hideMark/>
          </w:tcPr>
          <w:p w14:paraId="27E89E1E" w14:textId="77777777" w:rsidR="000A336D" w:rsidRDefault="000A336D" w:rsidP="009515E4">
            <w:r>
              <w:t>0.2%</w:t>
            </w:r>
          </w:p>
        </w:tc>
      </w:tr>
      <w:tr w:rsidR="000A336D" w14:paraId="3199251C" w14:textId="77777777">
        <w:trPr>
          <w:tblCellSpacing w:w="15" w:type="dxa"/>
        </w:trPr>
        <w:tc>
          <w:tcPr>
            <w:tcW w:w="0" w:type="auto"/>
            <w:gridSpan w:val="2"/>
            <w:tcBorders>
              <w:top w:val="single" w:sz="8" w:space="0" w:color="auto"/>
              <w:left w:val="single" w:sz="8" w:space="0" w:color="auto"/>
              <w:bottom w:val="single" w:sz="8" w:space="0" w:color="auto"/>
              <w:right w:val="single" w:sz="8" w:space="0" w:color="auto"/>
            </w:tcBorders>
            <w:vAlign w:val="center"/>
            <w:hideMark/>
          </w:tcPr>
          <w:p w14:paraId="76157E3F" w14:textId="77777777" w:rsidR="000A336D" w:rsidRDefault="000A336D" w:rsidP="009515E4">
            <w:pPr>
              <w:rPr>
                <w:rFonts w:ascii="Verdana" w:hAnsi="Verdana"/>
              </w:rPr>
            </w:pPr>
            <w:r>
              <w:t>Community size (percent of total respondents)</w:t>
            </w:r>
          </w:p>
        </w:tc>
      </w:tr>
      <w:tr w:rsidR="000A336D" w14:paraId="53E58046"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5B315E24" w14:textId="77777777" w:rsidR="000A336D" w:rsidRDefault="000A336D" w:rsidP="009515E4">
            <w:pPr>
              <w:rPr>
                <w:rFonts w:eastAsia="Verdana"/>
              </w:rPr>
            </w:pPr>
            <w:r>
              <w:t>City</w:t>
            </w:r>
          </w:p>
        </w:tc>
        <w:tc>
          <w:tcPr>
            <w:tcW w:w="959" w:type="pct"/>
            <w:tcBorders>
              <w:top w:val="single" w:sz="8" w:space="0" w:color="auto"/>
              <w:left w:val="single" w:sz="8" w:space="0" w:color="auto"/>
              <w:bottom w:val="single" w:sz="8" w:space="0" w:color="auto"/>
              <w:right w:val="single" w:sz="8" w:space="0" w:color="auto"/>
            </w:tcBorders>
            <w:vAlign w:val="center"/>
            <w:hideMark/>
          </w:tcPr>
          <w:p w14:paraId="0FF5630C" w14:textId="77777777" w:rsidR="000A336D" w:rsidRDefault="000A336D" w:rsidP="009515E4">
            <w:r>
              <w:t>36.4%</w:t>
            </w:r>
          </w:p>
        </w:tc>
      </w:tr>
      <w:tr w:rsidR="000A336D" w14:paraId="58713754"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676F11F" w14:textId="77777777" w:rsidR="000A336D" w:rsidRDefault="000A336D" w:rsidP="009515E4">
            <w:r>
              <w:t>Large city</w:t>
            </w:r>
          </w:p>
        </w:tc>
        <w:tc>
          <w:tcPr>
            <w:tcW w:w="959" w:type="pct"/>
            <w:tcBorders>
              <w:top w:val="single" w:sz="8" w:space="0" w:color="auto"/>
              <w:left w:val="single" w:sz="8" w:space="0" w:color="auto"/>
              <w:bottom w:val="single" w:sz="8" w:space="0" w:color="auto"/>
              <w:right w:val="single" w:sz="8" w:space="0" w:color="auto"/>
            </w:tcBorders>
            <w:vAlign w:val="center"/>
            <w:hideMark/>
          </w:tcPr>
          <w:p w14:paraId="3C0CF71F" w14:textId="77777777" w:rsidR="000A336D" w:rsidRDefault="000A336D" w:rsidP="009515E4">
            <w:r>
              <w:t>21.3%</w:t>
            </w:r>
          </w:p>
        </w:tc>
      </w:tr>
      <w:tr w:rsidR="000A336D" w14:paraId="272E169C"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0A646DE8" w14:textId="77777777" w:rsidR="000A336D" w:rsidRDefault="000A336D" w:rsidP="009515E4">
            <w:r>
              <w:t>Town</w:t>
            </w:r>
          </w:p>
        </w:tc>
        <w:tc>
          <w:tcPr>
            <w:tcW w:w="959" w:type="pct"/>
            <w:tcBorders>
              <w:top w:val="single" w:sz="8" w:space="0" w:color="auto"/>
              <w:left w:val="single" w:sz="8" w:space="0" w:color="auto"/>
              <w:bottom w:val="single" w:sz="8" w:space="0" w:color="auto"/>
              <w:right w:val="single" w:sz="8" w:space="0" w:color="auto"/>
            </w:tcBorders>
            <w:vAlign w:val="center"/>
            <w:hideMark/>
          </w:tcPr>
          <w:p w14:paraId="49D90F55" w14:textId="77777777" w:rsidR="000A336D" w:rsidRDefault="000A336D" w:rsidP="009515E4">
            <w:r>
              <w:t>16.5%</w:t>
            </w:r>
          </w:p>
        </w:tc>
      </w:tr>
      <w:tr w:rsidR="000A336D" w14:paraId="6B990F11"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E261346" w14:textId="77777777" w:rsidR="000A336D" w:rsidRDefault="000A336D" w:rsidP="009515E4">
            <w:r>
              <w:t>Small town</w:t>
            </w:r>
          </w:p>
        </w:tc>
        <w:tc>
          <w:tcPr>
            <w:tcW w:w="959" w:type="pct"/>
            <w:tcBorders>
              <w:top w:val="single" w:sz="8" w:space="0" w:color="auto"/>
              <w:left w:val="single" w:sz="8" w:space="0" w:color="auto"/>
              <w:bottom w:val="single" w:sz="8" w:space="0" w:color="auto"/>
              <w:right w:val="single" w:sz="8" w:space="0" w:color="auto"/>
            </w:tcBorders>
            <w:vAlign w:val="center"/>
            <w:hideMark/>
          </w:tcPr>
          <w:p w14:paraId="05BE2B8A" w14:textId="77777777" w:rsidR="000A336D" w:rsidRDefault="000A336D" w:rsidP="009515E4">
            <w:r>
              <w:t>13.3%</w:t>
            </w:r>
          </w:p>
        </w:tc>
      </w:tr>
      <w:tr w:rsidR="000A336D" w14:paraId="45C375A7"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9E3F962" w14:textId="77777777" w:rsidR="000A336D" w:rsidRDefault="000A336D" w:rsidP="009515E4">
            <w:r>
              <w:t>Village</w:t>
            </w:r>
          </w:p>
        </w:tc>
        <w:tc>
          <w:tcPr>
            <w:tcW w:w="959" w:type="pct"/>
            <w:tcBorders>
              <w:top w:val="single" w:sz="8" w:space="0" w:color="auto"/>
              <w:left w:val="single" w:sz="8" w:space="0" w:color="auto"/>
              <w:bottom w:val="single" w:sz="8" w:space="0" w:color="auto"/>
              <w:right w:val="single" w:sz="8" w:space="0" w:color="auto"/>
            </w:tcBorders>
            <w:vAlign w:val="center"/>
            <w:hideMark/>
          </w:tcPr>
          <w:p w14:paraId="69E30854" w14:textId="77777777" w:rsidR="000A336D" w:rsidRDefault="000A336D" w:rsidP="009515E4">
            <w:r>
              <w:t>11.5%</w:t>
            </w:r>
          </w:p>
        </w:tc>
      </w:tr>
      <w:tr w:rsidR="000A336D" w14:paraId="74E0D692" w14:textId="77777777">
        <w:trPr>
          <w:tblCellSpacing w:w="15" w:type="dxa"/>
        </w:trPr>
        <w:tc>
          <w:tcPr>
            <w:tcW w:w="0" w:type="auto"/>
            <w:gridSpan w:val="2"/>
            <w:tcBorders>
              <w:top w:val="single" w:sz="8" w:space="0" w:color="auto"/>
              <w:left w:val="single" w:sz="8" w:space="0" w:color="auto"/>
              <w:bottom w:val="single" w:sz="8" w:space="0" w:color="auto"/>
              <w:right w:val="single" w:sz="8" w:space="0" w:color="auto"/>
            </w:tcBorders>
            <w:vAlign w:val="center"/>
            <w:hideMark/>
          </w:tcPr>
          <w:p w14:paraId="76855A29" w14:textId="77777777" w:rsidR="000A336D" w:rsidRDefault="000A336D" w:rsidP="009515E4">
            <w:pPr>
              <w:rPr>
                <w:rFonts w:ascii="Verdana" w:hAnsi="Verdana"/>
              </w:rPr>
            </w:pPr>
            <w:r>
              <w:t>Guide dog status and experience (percent of total respondents)</w:t>
            </w:r>
          </w:p>
        </w:tc>
      </w:tr>
      <w:tr w:rsidR="000A336D" w14:paraId="2524A59E"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70948CA8" w14:textId="77777777" w:rsidR="000A336D" w:rsidRDefault="000A336D" w:rsidP="009515E4">
            <w:pPr>
              <w:rPr>
                <w:rFonts w:eastAsia="Verdana"/>
              </w:rPr>
            </w:pPr>
            <w:r>
              <w:t>Currently working a guide dog (Yes)</w:t>
            </w:r>
          </w:p>
        </w:tc>
        <w:tc>
          <w:tcPr>
            <w:tcW w:w="959" w:type="pct"/>
            <w:tcBorders>
              <w:top w:val="single" w:sz="8" w:space="0" w:color="auto"/>
              <w:left w:val="single" w:sz="8" w:space="0" w:color="auto"/>
              <w:bottom w:val="single" w:sz="8" w:space="0" w:color="auto"/>
              <w:right w:val="single" w:sz="8" w:space="0" w:color="auto"/>
            </w:tcBorders>
            <w:vAlign w:val="center"/>
            <w:hideMark/>
          </w:tcPr>
          <w:p w14:paraId="0DE4FF59" w14:textId="77777777" w:rsidR="000A336D" w:rsidRDefault="000A336D" w:rsidP="009515E4">
            <w:r>
              <w:t>45.6%</w:t>
            </w:r>
          </w:p>
        </w:tc>
      </w:tr>
      <w:tr w:rsidR="000A336D" w14:paraId="1CE5402E"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09F25F4A" w14:textId="77777777" w:rsidR="000A336D" w:rsidRDefault="000A336D" w:rsidP="009515E4">
            <w:r>
              <w:t>Currently working a guide dog (No)</w:t>
            </w:r>
          </w:p>
        </w:tc>
        <w:tc>
          <w:tcPr>
            <w:tcW w:w="959" w:type="pct"/>
            <w:tcBorders>
              <w:top w:val="single" w:sz="8" w:space="0" w:color="auto"/>
              <w:left w:val="single" w:sz="8" w:space="0" w:color="auto"/>
              <w:bottom w:val="single" w:sz="8" w:space="0" w:color="auto"/>
              <w:right w:val="single" w:sz="8" w:space="0" w:color="auto"/>
            </w:tcBorders>
            <w:vAlign w:val="center"/>
            <w:hideMark/>
          </w:tcPr>
          <w:p w14:paraId="323E58E6" w14:textId="77777777" w:rsidR="000A336D" w:rsidRDefault="000A336D" w:rsidP="009515E4">
            <w:r>
              <w:t>54.4%</w:t>
            </w:r>
          </w:p>
        </w:tc>
      </w:tr>
      <w:tr w:rsidR="000A336D" w14:paraId="2C9309A2"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163CA79B" w14:textId="77777777" w:rsidR="00D404FB" w:rsidRDefault="00D404FB" w:rsidP="009515E4">
            <w:pPr>
              <w:rPr>
                <w:lang w:eastAsia="en-CA"/>
              </w:rPr>
            </w:pPr>
            <w:r>
              <w:rPr>
                <w:rFonts w:hint="eastAsia"/>
              </w:rPr>
              <w:t>Working a guide dog for ≤3 years (including</w:t>
            </w:r>
            <w:r>
              <w:t xml:space="preserve"> &lt;1 year)</w:t>
            </w:r>
          </w:p>
          <w:p w14:paraId="21DBE946" w14:textId="742A4F99" w:rsidR="000A336D" w:rsidRDefault="000A336D" w:rsidP="009515E4"/>
        </w:tc>
        <w:tc>
          <w:tcPr>
            <w:tcW w:w="959" w:type="pct"/>
            <w:tcBorders>
              <w:top w:val="single" w:sz="8" w:space="0" w:color="auto"/>
              <w:left w:val="single" w:sz="8" w:space="0" w:color="auto"/>
              <w:bottom w:val="single" w:sz="8" w:space="0" w:color="auto"/>
              <w:right w:val="single" w:sz="8" w:space="0" w:color="auto"/>
            </w:tcBorders>
            <w:vAlign w:val="center"/>
            <w:hideMark/>
          </w:tcPr>
          <w:p w14:paraId="0C90DDA0" w14:textId="77777777" w:rsidR="000A336D" w:rsidRDefault="000A336D" w:rsidP="009515E4">
            <w:r>
              <w:t>36.4%</w:t>
            </w:r>
          </w:p>
        </w:tc>
      </w:tr>
      <w:tr w:rsidR="000A336D" w14:paraId="4459F01C"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394E9A89" w14:textId="77777777" w:rsidR="00D404FB" w:rsidRDefault="00D404FB" w:rsidP="009515E4">
            <w:pPr>
              <w:rPr>
                <w:lang w:eastAsia="en-CA"/>
              </w:rPr>
            </w:pPr>
            <w:r>
              <w:rPr>
                <w:rFonts w:hint="eastAsia"/>
              </w:rPr>
              <w:t>Working a guide dog for ≥4–6 years</w:t>
            </w:r>
          </w:p>
          <w:p w14:paraId="1FE562C5" w14:textId="315231D6" w:rsidR="000A336D" w:rsidRDefault="000A336D" w:rsidP="009515E4"/>
        </w:tc>
        <w:tc>
          <w:tcPr>
            <w:tcW w:w="959" w:type="pct"/>
            <w:tcBorders>
              <w:top w:val="single" w:sz="8" w:space="0" w:color="auto"/>
              <w:left w:val="single" w:sz="8" w:space="0" w:color="auto"/>
              <w:bottom w:val="single" w:sz="8" w:space="0" w:color="auto"/>
              <w:right w:val="single" w:sz="8" w:space="0" w:color="auto"/>
            </w:tcBorders>
            <w:vAlign w:val="center"/>
            <w:hideMark/>
          </w:tcPr>
          <w:p w14:paraId="3E0AEE04" w14:textId="77777777" w:rsidR="000A336D" w:rsidRDefault="000A336D" w:rsidP="009515E4">
            <w:r>
              <w:t>63.6%</w:t>
            </w:r>
          </w:p>
        </w:tc>
      </w:tr>
      <w:tr w:rsidR="000A336D" w14:paraId="1AA5BBD0" w14:textId="77777777">
        <w:trPr>
          <w:tblCellSpacing w:w="15" w:type="dxa"/>
        </w:trPr>
        <w:tc>
          <w:tcPr>
            <w:tcW w:w="0" w:type="auto"/>
            <w:gridSpan w:val="2"/>
            <w:tcBorders>
              <w:top w:val="single" w:sz="8" w:space="0" w:color="auto"/>
              <w:left w:val="single" w:sz="8" w:space="0" w:color="auto"/>
              <w:bottom w:val="single" w:sz="8" w:space="0" w:color="auto"/>
              <w:right w:val="single" w:sz="8" w:space="0" w:color="auto"/>
            </w:tcBorders>
            <w:vAlign w:val="center"/>
            <w:hideMark/>
          </w:tcPr>
          <w:p w14:paraId="495D4826" w14:textId="77777777" w:rsidR="000A336D" w:rsidRDefault="000A336D" w:rsidP="009515E4">
            <w:pPr>
              <w:rPr>
                <w:rFonts w:ascii="Verdana" w:hAnsi="Verdana"/>
              </w:rPr>
            </w:pPr>
            <w:r>
              <w:t>Age (by decade; percent of total respondents)</w:t>
            </w:r>
          </w:p>
        </w:tc>
      </w:tr>
      <w:tr w:rsidR="000A336D" w14:paraId="043FCBEE"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322E484" w14:textId="77777777" w:rsidR="000A336D" w:rsidRDefault="000A336D" w:rsidP="009515E4">
            <w:pPr>
              <w:rPr>
                <w:rFonts w:eastAsia="Verdana"/>
              </w:rPr>
            </w:pPr>
            <w:r>
              <w:t>10–19</w:t>
            </w:r>
          </w:p>
        </w:tc>
        <w:tc>
          <w:tcPr>
            <w:tcW w:w="959" w:type="pct"/>
            <w:tcBorders>
              <w:top w:val="single" w:sz="8" w:space="0" w:color="auto"/>
              <w:left w:val="single" w:sz="8" w:space="0" w:color="auto"/>
              <w:bottom w:val="single" w:sz="8" w:space="0" w:color="auto"/>
              <w:right w:val="single" w:sz="8" w:space="0" w:color="auto"/>
            </w:tcBorders>
            <w:vAlign w:val="center"/>
            <w:hideMark/>
          </w:tcPr>
          <w:p w14:paraId="4CA58082" w14:textId="77777777" w:rsidR="000A336D" w:rsidRDefault="000A336D" w:rsidP="009515E4">
            <w:r>
              <w:t>2.9%</w:t>
            </w:r>
          </w:p>
        </w:tc>
      </w:tr>
      <w:tr w:rsidR="000A336D" w14:paraId="20867432"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1E7F0EA1" w14:textId="77777777" w:rsidR="000A336D" w:rsidRDefault="000A336D" w:rsidP="009515E4">
            <w:r>
              <w:t>20–29</w:t>
            </w:r>
          </w:p>
        </w:tc>
        <w:tc>
          <w:tcPr>
            <w:tcW w:w="959" w:type="pct"/>
            <w:tcBorders>
              <w:top w:val="single" w:sz="8" w:space="0" w:color="auto"/>
              <w:left w:val="single" w:sz="8" w:space="0" w:color="auto"/>
              <w:bottom w:val="single" w:sz="8" w:space="0" w:color="auto"/>
              <w:right w:val="single" w:sz="8" w:space="0" w:color="auto"/>
            </w:tcBorders>
            <w:vAlign w:val="center"/>
            <w:hideMark/>
          </w:tcPr>
          <w:p w14:paraId="0B60ED90" w14:textId="77777777" w:rsidR="000A336D" w:rsidRDefault="000A336D" w:rsidP="009515E4">
            <w:r>
              <w:t>10.5%</w:t>
            </w:r>
          </w:p>
        </w:tc>
      </w:tr>
      <w:tr w:rsidR="000A336D" w14:paraId="091E1411"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124758F" w14:textId="77777777" w:rsidR="000A336D" w:rsidRDefault="000A336D" w:rsidP="009515E4">
            <w:r>
              <w:t>30–39</w:t>
            </w:r>
          </w:p>
        </w:tc>
        <w:tc>
          <w:tcPr>
            <w:tcW w:w="959" w:type="pct"/>
            <w:tcBorders>
              <w:top w:val="single" w:sz="8" w:space="0" w:color="auto"/>
              <w:left w:val="single" w:sz="8" w:space="0" w:color="auto"/>
              <w:bottom w:val="single" w:sz="8" w:space="0" w:color="auto"/>
              <w:right w:val="single" w:sz="8" w:space="0" w:color="auto"/>
            </w:tcBorders>
            <w:vAlign w:val="center"/>
            <w:hideMark/>
          </w:tcPr>
          <w:p w14:paraId="4EBECF28" w14:textId="77777777" w:rsidR="000A336D" w:rsidRDefault="000A336D" w:rsidP="009515E4">
            <w:r>
              <w:t>13.2%</w:t>
            </w:r>
          </w:p>
        </w:tc>
      </w:tr>
      <w:tr w:rsidR="000A336D" w14:paraId="4E8703FA"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61F47E2E" w14:textId="77777777" w:rsidR="000A336D" w:rsidRDefault="000A336D" w:rsidP="009515E4">
            <w:r>
              <w:t>40–49</w:t>
            </w:r>
          </w:p>
        </w:tc>
        <w:tc>
          <w:tcPr>
            <w:tcW w:w="959" w:type="pct"/>
            <w:tcBorders>
              <w:top w:val="single" w:sz="8" w:space="0" w:color="auto"/>
              <w:left w:val="single" w:sz="8" w:space="0" w:color="auto"/>
              <w:bottom w:val="single" w:sz="8" w:space="0" w:color="auto"/>
              <w:right w:val="single" w:sz="8" w:space="0" w:color="auto"/>
            </w:tcBorders>
            <w:vAlign w:val="center"/>
            <w:hideMark/>
          </w:tcPr>
          <w:p w14:paraId="7B9998C7" w14:textId="77777777" w:rsidR="000A336D" w:rsidRDefault="000A336D" w:rsidP="009515E4">
            <w:r>
              <w:t>13.0%</w:t>
            </w:r>
          </w:p>
        </w:tc>
      </w:tr>
      <w:tr w:rsidR="000A336D" w14:paraId="5AC16670"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CB06710" w14:textId="77777777" w:rsidR="000A336D" w:rsidRDefault="000A336D" w:rsidP="009515E4">
            <w:r>
              <w:t>50–59</w:t>
            </w:r>
          </w:p>
        </w:tc>
        <w:tc>
          <w:tcPr>
            <w:tcW w:w="959" w:type="pct"/>
            <w:tcBorders>
              <w:top w:val="single" w:sz="8" w:space="0" w:color="auto"/>
              <w:left w:val="single" w:sz="8" w:space="0" w:color="auto"/>
              <w:bottom w:val="single" w:sz="8" w:space="0" w:color="auto"/>
              <w:right w:val="single" w:sz="8" w:space="0" w:color="auto"/>
            </w:tcBorders>
            <w:vAlign w:val="center"/>
            <w:hideMark/>
          </w:tcPr>
          <w:p w14:paraId="066E911B" w14:textId="77777777" w:rsidR="000A336D" w:rsidRDefault="000A336D" w:rsidP="009515E4">
            <w:r>
              <w:t>20.8%</w:t>
            </w:r>
          </w:p>
        </w:tc>
      </w:tr>
      <w:tr w:rsidR="000A336D" w14:paraId="6377F135"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4883C847" w14:textId="77777777" w:rsidR="000A336D" w:rsidRDefault="000A336D" w:rsidP="009515E4">
            <w:r>
              <w:t>60–69</w:t>
            </w:r>
          </w:p>
        </w:tc>
        <w:tc>
          <w:tcPr>
            <w:tcW w:w="959" w:type="pct"/>
            <w:tcBorders>
              <w:top w:val="single" w:sz="8" w:space="0" w:color="auto"/>
              <w:left w:val="single" w:sz="8" w:space="0" w:color="auto"/>
              <w:bottom w:val="single" w:sz="8" w:space="0" w:color="auto"/>
              <w:right w:val="single" w:sz="8" w:space="0" w:color="auto"/>
            </w:tcBorders>
            <w:vAlign w:val="center"/>
            <w:hideMark/>
          </w:tcPr>
          <w:p w14:paraId="02A733B9" w14:textId="77777777" w:rsidR="000A336D" w:rsidRDefault="000A336D" w:rsidP="009515E4">
            <w:r>
              <w:t>19.9%</w:t>
            </w:r>
          </w:p>
        </w:tc>
      </w:tr>
      <w:tr w:rsidR="000A336D" w14:paraId="21BED7A0"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0B6D7685" w14:textId="77777777" w:rsidR="000A336D" w:rsidRDefault="000A336D" w:rsidP="009515E4">
            <w:r>
              <w:t>70–79</w:t>
            </w:r>
          </w:p>
        </w:tc>
        <w:tc>
          <w:tcPr>
            <w:tcW w:w="959" w:type="pct"/>
            <w:tcBorders>
              <w:top w:val="single" w:sz="8" w:space="0" w:color="auto"/>
              <w:left w:val="single" w:sz="8" w:space="0" w:color="auto"/>
              <w:bottom w:val="single" w:sz="8" w:space="0" w:color="auto"/>
              <w:right w:val="single" w:sz="8" w:space="0" w:color="auto"/>
            </w:tcBorders>
            <w:vAlign w:val="center"/>
            <w:hideMark/>
          </w:tcPr>
          <w:p w14:paraId="016884E4" w14:textId="77777777" w:rsidR="000A336D" w:rsidRDefault="000A336D" w:rsidP="009515E4">
            <w:r>
              <w:t>14.5%</w:t>
            </w:r>
          </w:p>
        </w:tc>
      </w:tr>
      <w:tr w:rsidR="000A336D" w14:paraId="7D61C1AA"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3162E2D4" w14:textId="77777777" w:rsidR="000A336D" w:rsidRDefault="000A336D" w:rsidP="009515E4">
            <w:r>
              <w:t>80–89</w:t>
            </w:r>
          </w:p>
        </w:tc>
        <w:tc>
          <w:tcPr>
            <w:tcW w:w="959" w:type="pct"/>
            <w:tcBorders>
              <w:top w:val="single" w:sz="8" w:space="0" w:color="auto"/>
              <w:left w:val="single" w:sz="8" w:space="0" w:color="auto"/>
              <w:bottom w:val="single" w:sz="8" w:space="0" w:color="auto"/>
              <w:right w:val="single" w:sz="8" w:space="0" w:color="auto"/>
            </w:tcBorders>
            <w:vAlign w:val="center"/>
            <w:hideMark/>
          </w:tcPr>
          <w:p w14:paraId="39A4ABDB" w14:textId="77777777" w:rsidR="000A336D" w:rsidRDefault="000A336D" w:rsidP="009515E4">
            <w:r>
              <w:t>2.9%</w:t>
            </w:r>
          </w:p>
        </w:tc>
      </w:tr>
      <w:tr w:rsidR="000A336D" w14:paraId="403094EA" w14:textId="77777777" w:rsidTr="001113DB">
        <w:trPr>
          <w:tblCellSpacing w:w="15" w:type="dxa"/>
        </w:trPr>
        <w:tc>
          <w:tcPr>
            <w:tcW w:w="3994" w:type="pct"/>
            <w:tcBorders>
              <w:top w:val="single" w:sz="8" w:space="0" w:color="auto"/>
              <w:left w:val="single" w:sz="8" w:space="0" w:color="auto"/>
              <w:bottom w:val="single" w:sz="8" w:space="0" w:color="auto"/>
              <w:right w:val="single" w:sz="8" w:space="0" w:color="auto"/>
            </w:tcBorders>
            <w:vAlign w:val="center"/>
            <w:hideMark/>
          </w:tcPr>
          <w:p w14:paraId="2A4F9BD5" w14:textId="77777777" w:rsidR="000A336D" w:rsidRDefault="000A336D" w:rsidP="009515E4">
            <w:r>
              <w:t>90+</w:t>
            </w:r>
          </w:p>
        </w:tc>
        <w:tc>
          <w:tcPr>
            <w:tcW w:w="959" w:type="pct"/>
            <w:tcBorders>
              <w:top w:val="single" w:sz="8" w:space="0" w:color="auto"/>
              <w:left w:val="single" w:sz="8" w:space="0" w:color="auto"/>
              <w:bottom w:val="single" w:sz="8" w:space="0" w:color="auto"/>
              <w:right w:val="single" w:sz="8" w:space="0" w:color="auto"/>
            </w:tcBorders>
            <w:vAlign w:val="center"/>
            <w:hideMark/>
          </w:tcPr>
          <w:p w14:paraId="4B1A04A2" w14:textId="77777777" w:rsidR="000A336D" w:rsidRDefault="000A336D" w:rsidP="009515E4">
            <w:r>
              <w:t>1.2%</w:t>
            </w:r>
          </w:p>
        </w:tc>
      </w:tr>
    </w:tbl>
    <w:p w14:paraId="081C2BCB" w14:textId="53E8E908" w:rsidR="00900FD5" w:rsidRDefault="00900FD5" w:rsidP="009515E4">
      <w:pPr>
        <w:rPr>
          <w:lang w:eastAsia="en-CA"/>
        </w:rPr>
      </w:pPr>
      <w:r>
        <w:rPr>
          <w:b/>
          <w:bCs/>
        </w:rPr>
        <w:t>Jurisdictional review (March–April 2022):</w:t>
      </w:r>
      <w:r>
        <w:t xml:space="preserve"> Review of guide dog access-related legal and policy frameworks across Canada (13 provinces/territories) and internationally (including the United States under the ADA and a review of guide dog legislation in 30 U.S. states, plus additional jurisdictions such as Brazil, Israel, </w:t>
      </w:r>
      <w:r w:rsidRPr="003B0C12">
        <w:t>Australia, New Zealand, South Africa, the United Kingdom, Poland, Japan, and others</w:t>
      </w:r>
      <w:r w:rsidR="003B0C12">
        <w:t xml:space="preserve"> (CNIB Research, 2023).</w:t>
      </w:r>
    </w:p>
    <w:p w14:paraId="49A23685" w14:textId="77777777" w:rsidR="000A336D" w:rsidRDefault="000A336D" w:rsidP="009515E4">
      <w:r>
        <w:rPr>
          <w:b/>
          <w:bCs/>
        </w:rPr>
        <w:t>Guide Dog Access Project Advisory Committee:</w:t>
      </w:r>
      <w:r>
        <w:t xml:space="preserve"> 15 guide dog handlers selected to reflect geographic location, gender representation, experience levels, and employment status; included at least one owner-trainer participant (as described).</w:t>
      </w:r>
    </w:p>
    <w:p w14:paraId="6F125BAA" w14:textId="77777777" w:rsidR="000A336D" w:rsidRDefault="000A336D" w:rsidP="009515E4">
      <w:r>
        <w:rPr>
          <w:b/>
          <w:bCs/>
        </w:rPr>
        <w:t>Co-design sessions:</w:t>
      </w:r>
      <w:r>
        <w:t xml:space="preserve"> Five sessions over the project period, designed to identify priority issues and potential solutions with guide dog handlers as key stakeholders.</w:t>
      </w:r>
    </w:p>
    <w:p w14:paraId="2E53704F" w14:textId="77777777" w:rsidR="000A336D" w:rsidRDefault="000A336D" w:rsidP="009515E4">
      <w:pPr>
        <w:pStyle w:val="ListParagraph"/>
        <w:numPr>
          <w:ilvl w:val="0"/>
          <w:numId w:val="4"/>
        </w:numPr>
      </w:pPr>
      <w:r w:rsidRPr="009515E4">
        <w:rPr>
          <w:b/>
          <w:bCs/>
        </w:rPr>
        <w:t>Focus groups:</w:t>
      </w:r>
      <w:r>
        <w:t xml:space="preserve"> Seven Zoom focus groups (31 participants) conducted November–December 2022; sessions were recorded and supported by transcripts; a four-person follow-up “deep dive” occurred on December 19, 2022.</w:t>
      </w:r>
    </w:p>
    <w:p w14:paraId="520861BC" w14:textId="539987D2" w:rsidR="000A336D" w:rsidRDefault="000A336D" w:rsidP="009515E4">
      <w:pPr>
        <w:pStyle w:val="ListParagraph"/>
        <w:numPr>
          <w:ilvl w:val="0"/>
          <w:numId w:val="4"/>
        </w:numPr>
      </w:pPr>
      <w:r w:rsidRPr="009515E4">
        <w:rPr>
          <w:b/>
          <w:bCs/>
        </w:rPr>
        <w:t>Guide Dog Handlers Experiences Survey (September–December 2022):</w:t>
      </w:r>
      <w:r>
        <w:t xml:space="preserve"> 546 complete responses; guide dog handlers around the world were invited to participate; 97.1% of respondents lived in Canada (representation across provinces/territories).</w:t>
      </w:r>
    </w:p>
    <w:p w14:paraId="269A5DBD" w14:textId="59EA9D3A" w:rsidR="000A336D" w:rsidRDefault="000A336D" w:rsidP="009515E4">
      <w:pPr>
        <w:pStyle w:val="ListParagraph"/>
        <w:numPr>
          <w:ilvl w:val="0"/>
          <w:numId w:val="4"/>
        </w:numPr>
      </w:pPr>
      <w:r w:rsidRPr="009515E4">
        <w:rPr>
          <w:b/>
          <w:bCs/>
        </w:rPr>
        <w:t>Ipsos Reid public attitudes survey (August 16–22, 2022):</w:t>
      </w:r>
      <w:r>
        <w:t xml:space="preserve"> 1,001 Canadians sampled across regions and demographic categories.</w:t>
      </w:r>
    </w:p>
    <w:p w14:paraId="0B0AD97B" w14:textId="77777777" w:rsidR="000A336D" w:rsidRDefault="000A336D" w:rsidP="009515E4">
      <w:pPr>
        <w:pStyle w:val="ListParagraph"/>
        <w:numPr>
          <w:ilvl w:val="0"/>
          <w:numId w:val="4"/>
        </w:numPr>
      </w:pPr>
      <w:r w:rsidRPr="009515E4">
        <w:rPr>
          <w:b/>
          <w:bCs/>
        </w:rPr>
        <w:t>Key informant interview:</w:t>
      </w:r>
      <w:r>
        <w:t xml:space="preserve"> Canadian Transportation Agency representatives (November 22, 2022); notes were taken (no recording).</w:t>
      </w:r>
    </w:p>
    <w:p w14:paraId="562F18DF" w14:textId="77777777" w:rsidR="00D404FB" w:rsidRDefault="00D404FB" w:rsidP="009515E4">
      <w:pPr>
        <w:pStyle w:val="Heading2"/>
        <w:rPr>
          <w:lang w:eastAsia="en-CA"/>
        </w:rPr>
      </w:pPr>
      <w:bookmarkStart w:id="103" w:name="_Toc225876200"/>
      <w:r>
        <w:t>3.3 Analysis approach</w:t>
      </w:r>
      <w:bookmarkEnd w:id="103"/>
    </w:p>
    <w:p w14:paraId="1001414E" w14:textId="77777777" w:rsidR="00D404FB" w:rsidRDefault="00D404FB" w:rsidP="009515E4">
      <w:pPr>
        <w:rPr>
          <w:lang w:eastAsia="en-CA"/>
        </w:rPr>
      </w:pPr>
      <w:r>
        <w:t>Qualitative input from focus groups and co-design sessions was compiled into themes, supported by meeting notes and (for focus groups) Zoom transcripts. Survey findings are presented primarily as descriptive results (percentages and subgroup comparisons). The jurisdictional review provides a comparative synthesis of legal and policy approaches, which was then triangulated with stakeholder experiences and survey findings.</w:t>
      </w:r>
    </w:p>
    <w:p w14:paraId="743149D8" w14:textId="77777777" w:rsidR="00D404FB" w:rsidRDefault="00D404FB" w:rsidP="009515E4">
      <w:pPr>
        <w:rPr>
          <w:lang w:eastAsia="en-CA"/>
        </w:rPr>
      </w:pPr>
      <w:r>
        <w:rPr>
          <w:b/>
        </w:rPr>
        <w:t>Data integration (triangulation).</w:t>
      </w:r>
      <w:r>
        <w:t xml:space="preserve"> The jurisdictional review (March–April 2022) established a baseline of the legal and policy landscape, then incorporated stakeholder inputs from the advisory committee, co-design sessions, and focus groups, and finally integrated descriptive survey evidence (including venue-specific and transportation-specific items) where available. This structure supports an interpretation of access denials as an implementation and systems issue rather than solely a legislative design issue.</w:t>
      </w:r>
    </w:p>
    <w:p w14:paraId="058713F0" w14:textId="77777777" w:rsidR="00D404FB" w:rsidRDefault="00D404FB" w:rsidP="009515E4">
      <w:pPr>
        <w:rPr>
          <w:lang w:eastAsia="en-CA"/>
        </w:rPr>
      </w:pPr>
      <w:r>
        <w:t>The Guide Dog Handlers Experiences Survey was published in English, French, and Spanish. Focus groups ran 1.5–2 hours, were recorded, and Zoom transcripts were used; following the sessions, notes and transcript-derived notes were compiled into a single document and organized thematically.</w:t>
      </w:r>
    </w:p>
    <w:p w14:paraId="09F767B5" w14:textId="77777777" w:rsidR="00D404FB" w:rsidRDefault="00D404FB" w:rsidP="009515E4">
      <w:pPr>
        <w:pStyle w:val="Heading2"/>
        <w:rPr>
          <w:lang w:eastAsia="en-CA"/>
        </w:rPr>
      </w:pPr>
      <w:bookmarkStart w:id="104" w:name="_Toc225876201"/>
      <w:r>
        <w:t>3.4 Measures and constructs</w:t>
      </w:r>
      <w:bookmarkEnd w:id="104"/>
    </w:p>
    <w:p w14:paraId="2122D3F5" w14:textId="77777777" w:rsidR="00D404FB" w:rsidRDefault="00D404FB" w:rsidP="009515E4">
      <w:pPr>
        <w:rPr>
          <w:lang w:eastAsia="en-CA"/>
        </w:rPr>
      </w:pPr>
      <w:r>
        <w:rPr>
          <w:b/>
        </w:rPr>
        <w:t>Guide Dog Handlers Experiences Survey (2022).</w:t>
      </w:r>
      <w:r>
        <w:t xml:space="preserve"> This survey measured self-reported experiences of accessing multiple public settings (e.g., shopping centres, grocery stores, restaurants, health care facilities, entertainment venues, government service centres, places of worship, transportation terminals) and specific transportation providers (e.g., taxi, ride-share, airlines, bus lines). Reported constructs include: (i) whether barriers were ever experienced; (ii) recency of barriers; (iii) frequency of difficulty in a setting (e.g., at least 3–4 times per year) attributed to others’ lack of understanding; (iv) perceived impact on daily life; (v) avoidance of new venues due to fear of discrimination; and (vi) decisions not to bring a guide dog in certain contexts.</w:t>
      </w:r>
    </w:p>
    <w:p w14:paraId="50993D68" w14:textId="77777777" w:rsidR="00D404FB" w:rsidRDefault="00D404FB" w:rsidP="009515E4">
      <w:pPr>
        <w:rPr>
          <w:lang w:eastAsia="en-CA"/>
        </w:rPr>
      </w:pPr>
      <w:r>
        <w:rPr>
          <w:b/>
        </w:rPr>
        <w:t>Ipsos Reid public attitudes survey (2022).</w:t>
      </w:r>
      <w:r>
        <w:t xml:space="preserve"> The Ipsos instrument measured public awareness and attitudes, including: knowledge of guide dog roles and etiquette; awareness of differences between guide dogs, service dogs, and emotional support animals; perceptions of whether guide dog users continue to face access denials; and degree of social proximity/contact with guide dog users (e.g., having met or spoken with a guide dog user).</w:t>
      </w:r>
    </w:p>
    <w:p w14:paraId="5A8971B4" w14:textId="77777777" w:rsidR="00D404FB" w:rsidRDefault="00D404FB" w:rsidP="009515E4">
      <w:pPr>
        <w:rPr>
          <w:lang w:eastAsia="en-CA"/>
        </w:rPr>
      </w:pPr>
      <w:r>
        <w:rPr>
          <w:b/>
        </w:rPr>
        <w:t>Stakeholder engagement (advisory committee, co-design sessions, focus groups).</w:t>
      </w:r>
      <w:r>
        <w:t xml:space="preserve"> These components elicited experiential accounts of barriers, implementation failures, and solution pathways. Key constructs </w:t>
      </w:r>
      <w:proofErr w:type="gramStart"/>
      <w:r>
        <w:t>include:</w:t>
      </w:r>
      <w:proofErr w:type="gramEnd"/>
      <w:r>
        <w:t xml:space="preserve"> legitimacy markers (behaviour versus documentation), the burden of self-advocacy in public settings, sector-specific barriers (notably transportation), and perceived effectiveness of enforcement, complaint pathways, and public education strategies.</w:t>
      </w:r>
    </w:p>
    <w:p w14:paraId="4DFB16C3" w14:textId="77777777" w:rsidR="00D404FB" w:rsidRDefault="00D404FB" w:rsidP="009515E4">
      <w:pPr>
        <w:rPr>
          <w:lang w:eastAsia="en-CA"/>
        </w:rPr>
      </w:pPr>
      <w:bookmarkStart w:id="105" w:name="_Toc1457608092"/>
      <w:bookmarkStart w:id="106" w:name="_Toc744153060"/>
      <w:bookmarkStart w:id="107" w:name="_Toc1169350103"/>
      <w:bookmarkStart w:id="108" w:name="_Toc1583537616"/>
      <w:bookmarkStart w:id="109" w:name="_Toc715771874"/>
      <w:bookmarkStart w:id="110" w:name="_Toc1552290886"/>
      <w:bookmarkStart w:id="111" w:name="_Toc1871647662"/>
      <w:bookmarkStart w:id="112" w:name="_Toc446672396"/>
      <w:bookmarkStart w:id="113" w:name="_Toc1554165160"/>
      <w:r>
        <w:rPr>
          <w:b/>
        </w:rPr>
        <w:t>Jurisdictional scan and key informant interview.</w:t>
      </w:r>
      <w:r>
        <w:t xml:space="preserve"> The jurisdictional scan established a baseline legal/policy landscape (where guide dogs can/cannot go; identification and certification requirements; enforcement mechanisms; penalties; and how competing rights are addressed). The Canadian Transportation Agency key informant interview clarified operational interpretation of applicable federal transportation requirements (e.g., seating and documentation practices).</w:t>
      </w:r>
    </w:p>
    <w:p w14:paraId="4A26740A" w14:textId="77777777" w:rsidR="000A336D" w:rsidRDefault="3D0B5717" w:rsidP="009515E4">
      <w:pPr>
        <w:pStyle w:val="Heading1"/>
        <w:rPr>
          <w:kern w:val="36"/>
          <w:sz w:val="32"/>
          <w:szCs w:val="32"/>
        </w:rPr>
      </w:pPr>
      <w:bookmarkStart w:id="114" w:name="_Toc225876202"/>
      <w:r>
        <w:t>4. Results</w:t>
      </w:r>
      <w:bookmarkEnd w:id="105"/>
      <w:bookmarkEnd w:id="106"/>
      <w:bookmarkEnd w:id="107"/>
      <w:bookmarkEnd w:id="108"/>
      <w:bookmarkEnd w:id="109"/>
      <w:bookmarkEnd w:id="110"/>
      <w:bookmarkEnd w:id="111"/>
      <w:bookmarkEnd w:id="112"/>
      <w:bookmarkEnd w:id="113"/>
      <w:bookmarkEnd w:id="114"/>
    </w:p>
    <w:p w14:paraId="2834A381" w14:textId="77777777" w:rsidR="00D404FB" w:rsidRDefault="00D404FB" w:rsidP="009515E4">
      <w:pPr>
        <w:rPr>
          <w:lang w:eastAsia="en-CA"/>
        </w:rPr>
      </w:pPr>
      <w:bookmarkStart w:id="115" w:name="_Toc1402848607"/>
      <w:bookmarkStart w:id="116" w:name="_Toc997307721"/>
      <w:bookmarkStart w:id="117" w:name="_Toc825556423"/>
      <w:bookmarkStart w:id="118" w:name="_Toc1051522030"/>
      <w:bookmarkStart w:id="119" w:name="_Toc106810208"/>
      <w:bookmarkStart w:id="120" w:name="_Toc1425227238"/>
      <w:bookmarkStart w:id="121" w:name="_Toc580664626"/>
      <w:bookmarkStart w:id="122" w:name="_Toc577245790"/>
      <w:bookmarkStart w:id="123" w:name="_Toc311959937"/>
      <w:r>
        <w:rPr>
          <w:b/>
        </w:rPr>
        <w:t>Quantitative reporting conventions.</w:t>
      </w:r>
      <w:r>
        <w:t xml:space="preserve"> Percentages are reproduced as originally reported, without modification. Where results are reported for a subset of participants (e.g., respondents who experienced barriers or respondents who experienced transportation refusals), this is explicitly indicated in the relevant table note (†/‡). Where approximate phrasing is used (e.g., “almost one-third” or “almost 25%”), the same wording is retained unless an exact value is stated in the source data.</w:t>
      </w:r>
    </w:p>
    <w:p w14:paraId="3915747B" w14:textId="77777777" w:rsidR="000A336D" w:rsidRDefault="3D0B5717" w:rsidP="009515E4">
      <w:pPr>
        <w:pStyle w:val="Heading2"/>
        <w:rPr>
          <w:sz w:val="30"/>
          <w:szCs w:val="30"/>
        </w:rPr>
      </w:pPr>
      <w:bookmarkStart w:id="124" w:name="_Toc225876203"/>
      <w:r>
        <w:t>4.1 Results I — Prevalence and patterns of access barriers (Guide Dog Handlers Experiences Survey)</w:t>
      </w:r>
      <w:bookmarkEnd w:id="115"/>
      <w:bookmarkEnd w:id="116"/>
      <w:bookmarkEnd w:id="117"/>
      <w:bookmarkEnd w:id="118"/>
      <w:bookmarkEnd w:id="119"/>
      <w:bookmarkEnd w:id="120"/>
      <w:bookmarkEnd w:id="121"/>
      <w:bookmarkEnd w:id="122"/>
      <w:bookmarkEnd w:id="123"/>
      <w:bookmarkEnd w:id="124"/>
    </w:p>
    <w:p w14:paraId="47B4F964" w14:textId="77777777" w:rsidR="00D404FB" w:rsidRDefault="00D404FB" w:rsidP="009515E4">
      <w:pPr>
        <w:rPr>
          <w:lang w:eastAsia="en-CA"/>
        </w:rPr>
      </w:pPr>
      <w:r>
        <w:t>The Guide Dog Handlers Experiences Survey (September–December 2022) invited guide dog handlers around the world to participate and received 546 complete responses; 97.1% of respondents lived in Canada. The survey documented frequent encounters with access barriers across multiple public settings. When asked whether they had ever experienced public access barriers with their guide dogs, 52.9% of respondents said yes and 47.1% said no. Among those reporting barriers, 86.6% indicated these barriers occurred within the last five years.</w:t>
      </w:r>
    </w:p>
    <w:p w14:paraId="32518B4A" w14:textId="5B7307E4" w:rsidR="004E6259" w:rsidRDefault="004E6259" w:rsidP="004E6259">
      <w:pPr>
        <w:pStyle w:val="Caption"/>
        <w:keepNext/>
      </w:pPr>
      <w:r>
        <w:t xml:space="preserve">Table </w:t>
      </w:r>
      <w:r>
        <w:fldChar w:fldCharType="begin"/>
      </w:r>
      <w:r>
        <w:instrText xml:space="preserve"> SEQ Table \* ARABIC </w:instrText>
      </w:r>
      <w:r>
        <w:fldChar w:fldCharType="separate"/>
      </w:r>
      <w:r w:rsidR="00085764">
        <w:rPr>
          <w:noProof/>
        </w:rPr>
        <w:t>2</w:t>
      </w:r>
      <w:r>
        <w:fldChar w:fldCharType="end"/>
      </w:r>
      <w:r>
        <w:t xml:space="preserve"> </w:t>
      </w:r>
      <w:r w:rsidRPr="00186A8F">
        <w:t>Prevalence and recency of public access barriers (Guide Dog Handlers Experiences Survey)</w:t>
      </w:r>
    </w:p>
    <w:tbl>
      <w:tblPr>
        <w:tblW w:w="5000" w:type="pct"/>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6976"/>
        <w:gridCol w:w="2494"/>
      </w:tblGrid>
      <w:tr w:rsidR="000A336D" w14:paraId="1DD7E2CC" w14:textId="77777777" w:rsidTr="6A0D869D">
        <w:trPr>
          <w:tblCellSpacing w:w="15" w:type="dxa"/>
        </w:trPr>
        <w:tc>
          <w:tcPr>
            <w:tcW w:w="0" w:type="auto"/>
            <w:gridSpan w:val="2"/>
            <w:vAlign w:val="center"/>
            <w:hideMark/>
          </w:tcPr>
          <w:p w14:paraId="0DC37122" w14:textId="77777777" w:rsidR="000A336D" w:rsidRPr="004E6259" w:rsidRDefault="000A336D" w:rsidP="009515E4">
            <w:pPr>
              <w:rPr>
                <w:b/>
                <w:bCs/>
              </w:rPr>
            </w:pPr>
            <w:r w:rsidRPr="004E6259">
              <w:rPr>
                <w:b/>
                <w:bCs/>
              </w:rPr>
              <w:t>A. Ever experienced public access barriers with a guide dog†</w:t>
            </w:r>
          </w:p>
        </w:tc>
      </w:tr>
      <w:tr w:rsidR="000A336D" w14:paraId="6A2BC2DB" w14:textId="77777777" w:rsidTr="6A0D869D">
        <w:trPr>
          <w:tblCellSpacing w:w="15" w:type="dxa"/>
        </w:trPr>
        <w:tc>
          <w:tcPr>
            <w:tcW w:w="0" w:type="auto"/>
            <w:vAlign w:val="center"/>
            <w:hideMark/>
          </w:tcPr>
          <w:p w14:paraId="7E245D7C" w14:textId="77777777" w:rsidR="000A336D" w:rsidRDefault="000A336D" w:rsidP="009515E4">
            <w:r>
              <w:t>Response</w:t>
            </w:r>
          </w:p>
        </w:tc>
        <w:tc>
          <w:tcPr>
            <w:tcW w:w="0" w:type="auto"/>
            <w:vAlign w:val="center"/>
            <w:hideMark/>
          </w:tcPr>
          <w:p w14:paraId="542352C9" w14:textId="77777777" w:rsidR="000A336D" w:rsidRDefault="000A336D" w:rsidP="009515E4">
            <w:r>
              <w:t>Percent</w:t>
            </w:r>
          </w:p>
        </w:tc>
      </w:tr>
      <w:tr w:rsidR="000A336D" w14:paraId="0497E9E7" w14:textId="77777777" w:rsidTr="6A0D869D">
        <w:trPr>
          <w:tblCellSpacing w:w="15" w:type="dxa"/>
        </w:trPr>
        <w:tc>
          <w:tcPr>
            <w:tcW w:w="0" w:type="auto"/>
            <w:vAlign w:val="center"/>
            <w:hideMark/>
          </w:tcPr>
          <w:p w14:paraId="2BDF4398" w14:textId="77777777" w:rsidR="000A336D" w:rsidRDefault="000A336D" w:rsidP="009515E4">
            <w:r>
              <w:t>Yes</w:t>
            </w:r>
          </w:p>
        </w:tc>
        <w:tc>
          <w:tcPr>
            <w:tcW w:w="0" w:type="auto"/>
            <w:vAlign w:val="center"/>
            <w:hideMark/>
          </w:tcPr>
          <w:p w14:paraId="2F30F79C" w14:textId="77777777" w:rsidR="000A336D" w:rsidRDefault="000A336D" w:rsidP="009515E4">
            <w:r>
              <w:t>52.9%</w:t>
            </w:r>
          </w:p>
        </w:tc>
      </w:tr>
      <w:tr w:rsidR="000A336D" w14:paraId="24B7CFBB" w14:textId="77777777" w:rsidTr="6A0D869D">
        <w:trPr>
          <w:tblCellSpacing w:w="15" w:type="dxa"/>
        </w:trPr>
        <w:tc>
          <w:tcPr>
            <w:tcW w:w="0" w:type="auto"/>
            <w:vAlign w:val="center"/>
            <w:hideMark/>
          </w:tcPr>
          <w:p w14:paraId="52F4E84E" w14:textId="77777777" w:rsidR="000A336D" w:rsidRDefault="000A336D" w:rsidP="009515E4">
            <w:r>
              <w:t>No</w:t>
            </w:r>
          </w:p>
        </w:tc>
        <w:tc>
          <w:tcPr>
            <w:tcW w:w="0" w:type="auto"/>
            <w:vAlign w:val="center"/>
            <w:hideMark/>
          </w:tcPr>
          <w:p w14:paraId="1880EAAE" w14:textId="77777777" w:rsidR="000A336D" w:rsidRDefault="000A336D" w:rsidP="009515E4">
            <w:r>
              <w:t>47.1%</w:t>
            </w:r>
          </w:p>
        </w:tc>
      </w:tr>
      <w:tr w:rsidR="000A336D" w14:paraId="0275F0CA" w14:textId="77777777" w:rsidTr="6A0D869D">
        <w:trPr>
          <w:tblCellSpacing w:w="15" w:type="dxa"/>
        </w:trPr>
        <w:tc>
          <w:tcPr>
            <w:tcW w:w="0" w:type="auto"/>
            <w:gridSpan w:val="2"/>
            <w:vAlign w:val="center"/>
            <w:hideMark/>
          </w:tcPr>
          <w:p w14:paraId="3AA90D74" w14:textId="77777777" w:rsidR="000A336D" w:rsidRDefault="000A336D" w:rsidP="009515E4">
            <w:r>
              <w:t>B. Recency of barriers‡</w:t>
            </w:r>
          </w:p>
        </w:tc>
      </w:tr>
      <w:tr w:rsidR="000A336D" w14:paraId="000EA826" w14:textId="77777777" w:rsidTr="6A0D869D">
        <w:trPr>
          <w:tblCellSpacing w:w="15" w:type="dxa"/>
        </w:trPr>
        <w:tc>
          <w:tcPr>
            <w:tcW w:w="0" w:type="auto"/>
            <w:vAlign w:val="center"/>
            <w:hideMark/>
          </w:tcPr>
          <w:p w14:paraId="01A31A1A" w14:textId="77777777" w:rsidR="000A336D" w:rsidRDefault="000A336D" w:rsidP="009515E4">
            <w:r>
              <w:t>Within the last 5 years</w:t>
            </w:r>
          </w:p>
        </w:tc>
        <w:tc>
          <w:tcPr>
            <w:tcW w:w="0" w:type="auto"/>
            <w:vAlign w:val="center"/>
            <w:hideMark/>
          </w:tcPr>
          <w:p w14:paraId="692D0B12" w14:textId="77777777" w:rsidR="000A336D" w:rsidRDefault="000A336D" w:rsidP="009515E4">
            <w:r>
              <w:t>86.6%</w:t>
            </w:r>
          </w:p>
        </w:tc>
      </w:tr>
      <w:tr w:rsidR="000A336D" w14:paraId="2DCDD5DB" w14:textId="77777777" w:rsidTr="6A0D869D">
        <w:trPr>
          <w:tblCellSpacing w:w="15" w:type="dxa"/>
        </w:trPr>
        <w:tc>
          <w:tcPr>
            <w:tcW w:w="0" w:type="auto"/>
            <w:vAlign w:val="center"/>
            <w:hideMark/>
          </w:tcPr>
          <w:p w14:paraId="4D556EC7" w14:textId="77777777" w:rsidR="000A336D" w:rsidRDefault="000A336D" w:rsidP="009515E4">
            <w:r>
              <w:t>More than 5 years ago</w:t>
            </w:r>
          </w:p>
        </w:tc>
        <w:tc>
          <w:tcPr>
            <w:tcW w:w="0" w:type="auto"/>
            <w:vAlign w:val="center"/>
            <w:hideMark/>
          </w:tcPr>
          <w:p w14:paraId="6187B23E" w14:textId="77777777" w:rsidR="000A336D" w:rsidRDefault="000A336D" w:rsidP="009515E4">
            <w:r>
              <w:t>13.4%</w:t>
            </w:r>
          </w:p>
        </w:tc>
      </w:tr>
    </w:tbl>
    <w:p w14:paraId="4C920A86" w14:textId="77777777" w:rsidR="000A336D" w:rsidRPr="002E4876" w:rsidRDefault="3D0B5717" w:rsidP="009515E4">
      <w:r w:rsidRPr="002E4876">
        <w:t>† Denominator: all survey respondents (n=546 complete responses). ‡ Denominator: respondents who reported experiencing barriers (i.e., those answering “Yes” in Part A).</w:t>
      </w:r>
    </w:p>
    <w:p w14:paraId="268C0744" w14:textId="77777777" w:rsidR="00D404FB" w:rsidRDefault="00D404FB" w:rsidP="009515E4">
      <w:pPr>
        <w:rPr>
          <w:lang w:eastAsia="en-CA"/>
        </w:rPr>
      </w:pPr>
      <w:r>
        <w:t>Respondents were asked which barrier locations were most personally impactful. The top three were transportation providers (13.4%), restaurants (9.4%), and health care services (9.1%), followed by grocery stores (8.0%), housing (6.2%), and educational institutions (6.2%). In the transportation domain, 51.1% of respondents had been refused access by a transportation provider while travelling with a guide dog in Canada (48.9% had not). Where refusals occurred, taxis were cited most frequently (25.2%), followed by inter-provincial airlines and municipal bus lines (each 16.1%) and ride-share companies (11.6%), with 92.8% indicating the refusals occurred within the past five years.</w:t>
      </w:r>
    </w:p>
    <w:p w14:paraId="61131142" w14:textId="6EA5F31E" w:rsidR="00CF79B7" w:rsidRDefault="00CF79B7" w:rsidP="00CF79B7">
      <w:pPr>
        <w:pStyle w:val="Caption"/>
        <w:keepNext/>
      </w:pPr>
      <w:r>
        <w:t xml:space="preserve">Table </w:t>
      </w:r>
      <w:r>
        <w:fldChar w:fldCharType="begin"/>
      </w:r>
      <w:r>
        <w:instrText xml:space="preserve"> SEQ Table \* ARABIC </w:instrText>
      </w:r>
      <w:r>
        <w:fldChar w:fldCharType="separate"/>
      </w:r>
      <w:r w:rsidR="00085764">
        <w:rPr>
          <w:noProof/>
        </w:rPr>
        <w:t>3</w:t>
      </w:r>
      <w:r>
        <w:fldChar w:fldCharType="end"/>
      </w:r>
      <w:r>
        <w:t xml:space="preserve"> </w:t>
      </w:r>
      <w:r w:rsidRPr="002F6091">
        <w:t>Locations identified as most personally impactful (Guide Dog Handlers Experiences Survey)</w:t>
      </w:r>
    </w:p>
    <w:tbl>
      <w:tblPr>
        <w:tblW w:w="8981" w:type="dxa"/>
        <w:tblCellSpacing w:w="15" w:type="dxa"/>
        <w:tblInd w:w="509" w:type="dxa"/>
        <w:tblCellMar>
          <w:top w:w="15" w:type="dxa"/>
          <w:left w:w="15" w:type="dxa"/>
          <w:bottom w:w="15" w:type="dxa"/>
          <w:right w:w="15" w:type="dxa"/>
        </w:tblCellMar>
        <w:tblLook w:val="04A0" w:firstRow="1" w:lastRow="0" w:firstColumn="1" w:lastColumn="0" w:noHBand="0" w:noVBand="1"/>
      </w:tblPr>
      <w:tblGrid>
        <w:gridCol w:w="5026"/>
        <w:gridCol w:w="3955"/>
      </w:tblGrid>
      <w:tr w:rsidR="000A336D" w14:paraId="04205A59" w14:textId="77777777" w:rsidTr="00CF79B7">
        <w:trPr>
          <w:cantSplit/>
          <w:tblHeade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6C6486FA" w14:textId="77777777" w:rsidR="00D404FB" w:rsidRPr="00CF79B7" w:rsidRDefault="00D404FB" w:rsidP="00CF79B7">
            <w:pPr>
              <w:jc w:val="both"/>
              <w:rPr>
                <w:b/>
                <w:bCs/>
                <w:lang w:eastAsia="en-CA"/>
              </w:rPr>
            </w:pPr>
            <w:r w:rsidRPr="00CF79B7">
              <w:rPr>
                <w:b/>
                <w:bCs/>
              </w:rPr>
              <w:t>Location (as listed)</w:t>
            </w:r>
          </w:p>
          <w:p w14:paraId="10986FC0" w14:textId="29F9BA15" w:rsidR="000A336D" w:rsidRPr="00CF79B7" w:rsidRDefault="000A336D" w:rsidP="00CF79B7">
            <w:pPr>
              <w:jc w:val="both"/>
              <w:rPr>
                <w:b/>
                <w:bCs/>
              </w:rPr>
            </w:pPr>
          </w:p>
        </w:tc>
        <w:tc>
          <w:tcPr>
            <w:tcW w:w="3910" w:type="dxa"/>
            <w:tcBorders>
              <w:top w:val="single" w:sz="8" w:space="0" w:color="auto"/>
              <w:left w:val="single" w:sz="8" w:space="0" w:color="auto"/>
              <w:bottom w:val="single" w:sz="8" w:space="0" w:color="auto"/>
              <w:right w:val="single" w:sz="8" w:space="0" w:color="auto"/>
            </w:tcBorders>
            <w:vAlign w:val="center"/>
            <w:hideMark/>
          </w:tcPr>
          <w:p w14:paraId="4303CEC6" w14:textId="77777777" w:rsidR="000A336D" w:rsidRPr="00CF79B7" w:rsidRDefault="000A336D" w:rsidP="00CF79B7">
            <w:pPr>
              <w:jc w:val="both"/>
              <w:rPr>
                <w:b/>
                <w:bCs/>
              </w:rPr>
            </w:pPr>
            <w:r w:rsidRPr="00CF79B7">
              <w:rPr>
                <w:b/>
                <w:bCs/>
              </w:rPr>
              <w:t>Percent selecting as most personally impactful</w:t>
            </w:r>
          </w:p>
        </w:tc>
      </w:tr>
      <w:tr w:rsidR="000A336D" w14:paraId="5335FA98"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6836C8B1" w14:textId="77777777" w:rsidR="000A336D" w:rsidRDefault="000A336D" w:rsidP="009515E4">
            <w:r>
              <w:t>Transportation providers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18BE2FA1" w14:textId="77777777" w:rsidR="000A336D" w:rsidRDefault="000A336D" w:rsidP="009515E4">
            <w:r>
              <w:t>13.4%</w:t>
            </w:r>
          </w:p>
        </w:tc>
      </w:tr>
      <w:tr w:rsidR="000A336D" w14:paraId="645ACB8C"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58DB8185" w14:textId="77777777" w:rsidR="000A336D" w:rsidRDefault="000A336D" w:rsidP="009515E4">
            <w:r>
              <w:t>Restaurants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78049F28" w14:textId="77777777" w:rsidR="000A336D" w:rsidRDefault="000A336D" w:rsidP="009515E4">
            <w:r>
              <w:t>9.4%</w:t>
            </w:r>
          </w:p>
        </w:tc>
      </w:tr>
      <w:tr w:rsidR="000A336D" w14:paraId="3DDBC29E"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0A3FAA2E" w14:textId="77777777" w:rsidR="000A336D" w:rsidRDefault="000A336D" w:rsidP="009515E4">
            <w:r>
              <w:t>Health care services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477064E7" w14:textId="77777777" w:rsidR="000A336D" w:rsidRDefault="000A336D" w:rsidP="009515E4">
            <w:r>
              <w:t>9.1%</w:t>
            </w:r>
          </w:p>
        </w:tc>
      </w:tr>
      <w:tr w:rsidR="000A336D" w14:paraId="392F8DA7"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32C5F2ED" w14:textId="77777777" w:rsidR="000A336D" w:rsidRDefault="000A336D" w:rsidP="009515E4">
            <w:r>
              <w:t>Grocery stores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6F054B88" w14:textId="77777777" w:rsidR="000A336D" w:rsidRDefault="000A336D" w:rsidP="009515E4">
            <w:r>
              <w:t>8.0%</w:t>
            </w:r>
          </w:p>
        </w:tc>
      </w:tr>
      <w:tr w:rsidR="000A336D" w14:paraId="744ACF47"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705A1336" w14:textId="77777777" w:rsidR="000A336D" w:rsidRDefault="000A336D" w:rsidP="009515E4">
            <w:r>
              <w:t>Housing</w:t>
            </w:r>
          </w:p>
        </w:tc>
        <w:tc>
          <w:tcPr>
            <w:tcW w:w="3910" w:type="dxa"/>
            <w:tcBorders>
              <w:top w:val="single" w:sz="8" w:space="0" w:color="auto"/>
              <w:left w:val="single" w:sz="8" w:space="0" w:color="auto"/>
              <w:bottom w:val="single" w:sz="8" w:space="0" w:color="auto"/>
              <w:right w:val="single" w:sz="8" w:space="0" w:color="auto"/>
            </w:tcBorders>
            <w:vAlign w:val="center"/>
            <w:hideMark/>
          </w:tcPr>
          <w:p w14:paraId="4A9FECC3" w14:textId="77777777" w:rsidR="000A336D" w:rsidRDefault="000A336D" w:rsidP="009515E4">
            <w:r>
              <w:t>6.2%</w:t>
            </w:r>
          </w:p>
        </w:tc>
      </w:tr>
      <w:tr w:rsidR="000A336D" w14:paraId="28ED7670"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74FEB9D8" w14:textId="77777777" w:rsidR="000A336D" w:rsidRDefault="000A336D" w:rsidP="009515E4">
            <w:r>
              <w:t>Educational institutions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6B2C98C4" w14:textId="77777777" w:rsidR="000A336D" w:rsidRDefault="000A336D" w:rsidP="009515E4">
            <w:r>
              <w:t>6.2%</w:t>
            </w:r>
          </w:p>
        </w:tc>
      </w:tr>
      <w:tr w:rsidR="000A336D" w14:paraId="2EEF014E"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38E57B6F" w14:textId="77777777" w:rsidR="000A336D" w:rsidRDefault="000A336D" w:rsidP="009515E4">
            <w:r>
              <w:t>Airports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56BD1582" w14:textId="77777777" w:rsidR="000A336D" w:rsidRDefault="000A336D" w:rsidP="009515E4">
            <w:r>
              <w:t>3.3%</w:t>
            </w:r>
          </w:p>
        </w:tc>
      </w:tr>
      <w:tr w:rsidR="000A336D" w14:paraId="7BCF5058"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2211E873" w14:textId="77777777" w:rsidR="000A336D" w:rsidRDefault="000A336D" w:rsidP="009515E4">
            <w:r>
              <w:t>Employment settings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240F58D3" w14:textId="77777777" w:rsidR="000A336D" w:rsidRDefault="000A336D" w:rsidP="009515E4">
            <w:r>
              <w:t>2.9%</w:t>
            </w:r>
          </w:p>
        </w:tc>
      </w:tr>
      <w:tr w:rsidR="000A336D" w14:paraId="6A1756F1"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5B4A3AED" w14:textId="77777777" w:rsidR="000A336D" w:rsidRDefault="000A336D" w:rsidP="009515E4">
            <w:r>
              <w:t>Hotels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49C372C9" w14:textId="77777777" w:rsidR="000A336D" w:rsidRDefault="000A336D" w:rsidP="009515E4">
            <w:r>
              <w:t>2.5%</w:t>
            </w:r>
          </w:p>
        </w:tc>
      </w:tr>
      <w:tr w:rsidR="000A336D" w14:paraId="6CCC39A8"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1C6F5829" w14:textId="77777777" w:rsidR="000A336D" w:rsidRDefault="000A336D" w:rsidP="009515E4">
            <w:r>
              <w:t>Tourist attractions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7695D2FD" w14:textId="77777777" w:rsidR="000A336D" w:rsidRDefault="000A336D" w:rsidP="009515E4">
            <w:r>
              <w:t>2.2%</w:t>
            </w:r>
          </w:p>
        </w:tc>
      </w:tr>
      <w:tr w:rsidR="000A336D" w14:paraId="31206102"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71CCC4B6" w14:textId="77777777" w:rsidR="000A336D" w:rsidRDefault="000A336D" w:rsidP="009515E4">
            <w:r>
              <w:t>Government buildings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57A35C7F" w14:textId="77777777" w:rsidR="000A336D" w:rsidRDefault="000A336D" w:rsidP="009515E4">
            <w:r>
              <w:t>1.1%</w:t>
            </w:r>
          </w:p>
        </w:tc>
      </w:tr>
      <w:tr w:rsidR="000A336D" w14:paraId="4B7FA4FC" w14:textId="77777777" w:rsidTr="00521A2E">
        <w:trPr>
          <w:tblCellSpacing w:w="15" w:type="dxa"/>
        </w:trPr>
        <w:tc>
          <w:tcPr>
            <w:tcW w:w="4981" w:type="dxa"/>
            <w:tcBorders>
              <w:top w:val="single" w:sz="8" w:space="0" w:color="auto"/>
              <w:left w:val="single" w:sz="8" w:space="0" w:color="auto"/>
              <w:bottom w:val="single" w:sz="8" w:space="0" w:color="auto"/>
              <w:right w:val="single" w:sz="8" w:space="0" w:color="auto"/>
            </w:tcBorders>
            <w:vAlign w:val="center"/>
            <w:hideMark/>
          </w:tcPr>
          <w:p w14:paraId="423660A5" w14:textId="77777777" w:rsidR="000A336D" w:rsidRDefault="000A336D" w:rsidP="009515E4">
            <w:r>
              <w:t>Athletic and recreational facilities</w:t>
            </w:r>
          </w:p>
        </w:tc>
        <w:tc>
          <w:tcPr>
            <w:tcW w:w="3910" w:type="dxa"/>
            <w:tcBorders>
              <w:top w:val="single" w:sz="8" w:space="0" w:color="auto"/>
              <w:left w:val="single" w:sz="8" w:space="0" w:color="auto"/>
              <w:bottom w:val="single" w:sz="8" w:space="0" w:color="auto"/>
              <w:right w:val="single" w:sz="8" w:space="0" w:color="auto"/>
            </w:tcBorders>
            <w:vAlign w:val="center"/>
            <w:hideMark/>
          </w:tcPr>
          <w:p w14:paraId="3B266864" w14:textId="77777777" w:rsidR="000A336D" w:rsidRDefault="000A336D" w:rsidP="009515E4">
            <w:r>
              <w:t>1.1%</w:t>
            </w:r>
          </w:p>
        </w:tc>
      </w:tr>
    </w:tbl>
    <w:p w14:paraId="38BF558D" w14:textId="77777777" w:rsidR="00DC74C3" w:rsidRDefault="00DC74C3" w:rsidP="009515E4">
      <w:pPr>
        <w:pStyle w:val="Caption"/>
      </w:pPr>
    </w:p>
    <w:p w14:paraId="1C4FECB6" w14:textId="77777777" w:rsidR="009F768F" w:rsidRDefault="009F768F">
      <w:pPr>
        <w:spacing w:line="259" w:lineRule="auto"/>
        <w:ind w:firstLine="0"/>
        <w:rPr>
          <w:b/>
          <w:i/>
          <w:iCs/>
          <w:sz w:val="24"/>
          <w:szCs w:val="18"/>
        </w:rPr>
      </w:pPr>
      <w:r>
        <w:br w:type="page"/>
      </w:r>
    </w:p>
    <w:p w14:paraId="18D83200" w14:textId="10B05E03" w:rsidR="009F768F" w:rsidRDefault="009F768F" w:rsidP="009F768F">
      <w:pPr>
        <w:pStyle w:val="Caption"/>
        <w:keepNext/>
      </w:pPr>
      <w:r>
        <w:t xml:space="preserve">Table </w:t>
      </w:r>
      <w:r>
        <w:fldChar w:fldCharType="begin"/>
      </w:r>
      <w:r>
        <w:instrText xml:space="preserve"> SEQ Table \* ARABIC </w:instrText>
      </w:r>
      <w:r>
        <w:fldChar w:fldCharType="separate"/>
      </w:r>
      <w:r w:rsidR="00085764">
        <w:rPr>
          <w:noProof/>
        </w:rPr>
        <w:t>4</w:t>
      </w:r>
      <w:r>
        <w:fldChar w:fldCharType="end"/>
      </w:r>
      <w:r>
        <w:t xml:space="preserve"> </w:t>
      </w:r>
      <w:r w:rsidRPr="004941F8">
        <w:t>Transportation refusals reported in Canada (Guide Dog Handlers Experiences Survey)</w:t>
      </w:r>
    </w:p>
    <w:tbl>
      <w:tblPr>
        <w:tblW w:w="8000" w:type="dxa"/>
        <w:tblInd w:w="118" w:type="dxa"/>
        <w:tblLook w:val="04A0" w:firstRow="1" w:lastRow="0" w:firstColumn="1" w:lastColumn="0" w:noHBand="0" w:noVBand="1"/>
      </w:tblPr>
      <w:tblGrid>
        <w:gridCol w:w="3860"/>
        <w:gridCol w:w="4140"/>
      </w:tblGrid>
      <w:tr w:rsidR="00AA17B1" w:rsidRPr="00AA17B1" w14:paraId="5DC978D0" w14:textId="77777777" w:rsidTr="006066BD">
        <w:trPr>
          <w:trHeight w:val="1440"/>
        </w:trPr>
        <w:tc>
          <w:tcPr>
            <w:tcW w:w="8000" w:type="dxa"/>
            <w:gridSpan w:val="2"/>
            <w:tcBorders>
              <w:top w:val="single" w:sz="8" w:space="0" w:color="auto"/>
              <w:left w:val="single" w:sz="8" w:space="0" w:color="auto"/>
              <w:bottom w:val="single" w:sz="8" w:space="0" w:color="auto"/>
              <w:right w:val="single" w:sz="8" w:space="0" w:color="000000"/>
            </w:tcBorders>
            <w:vAlign w:val="center"/>
            <w:hideMark/>
          </w:tcPr>
          <w:p w14:paraId="39ADDB79" w14:textId="77777777" w:rsidR="00AA17B1" w:rsidRPr="006066BD" w:rsidRDefault="00AA17B1" w:rsidP="009515E4">
            <w:pPr>
              <w:rPr>
                <w:b/>
                <w:bCs/>
                <w:lang w:eastAsia="en-CA"/>
              </w:rPr>
            </w:pPr>
            <w:r w:rsidRPr="006066BD">
              <w:rPr>
                <w:b/>
                <w:bCs/>
                <w:lang w:eastAsia="en-CA"/>
              </w:rPr>
              <w:t>A. Ever refused service by a transportation provider while travelling with a guide dog in Canada†</w:t>
            </w:r>
          </w:p>
        </w:tc>
      </w:tr>
      <w:tr w:rsidR="00AA17B1" w:rsidRPr="00AA17B1" w14:paraId="7E2520EB" w14:textId="77777777" w:rsidTr="006066BD">
        <w:trPr>
          <w:trHeight w:val="372"/>
        </w:trPr>
        <w:tc>
          <w:tcPr>
            <w:tcW w:w="3860" w:type="dxa"/>
            <w:tcBorders>
              <w:top w:val="nil"/>
              <w:left w:val="single" w:sz="8" w:space="0" w:color="auto"/>
              <w:bottom w:val="single" w:sz="8" w:space="0" w:color="auto"/>
              <w:right w:val="single" w:sz="8" w:space="0" w:color="auto"/>
            </w:tcBorders>
            <w:vAlign w:val="center"/>
            <w:hideMark/>
          </w:tcPr>
          <w:p w14:paraId="152CA4D3" w14:textId="77777777" w:rsidR="00AA17B1" w:rsidRPr="00AA17B1" w:rsidRDefault="00AA17B1" w:rsidP="009515E4">
            <w:pPr>
              <w:rPr>
                <w:lang w:eastAsia="en-CA"/>
              </w:rPr>
            </w:pPr>
            <w:r w:rsidRPr="00AA17B1">
              <w:rPr>
                <w:lang w:eastAsia="en-CA"/>
              </w:rPr>
              <w:t>Response</w:t>
            </w:r>
          </w:p>
        </w:tc>
        <w:tc>
          <w:tcPr>
            <w:tcW w:w="4140" w:type="dxa"/>
            <w:tcBorders>
              <w:top w:val="nil"/>
              <w:left w:val="nil"/>
              <w:bottom w:val="single" w:sz="8" w:space="0" w:color="auto"/>
              <w:right w:val="single" w:sz="8" w:space="0" w:color="auto"/>
            </w:tcBorders>
            <w:vAlign w:val="center"/>
            <w:hideMark/>
          </w:tcPr>
          <w:p w14:paraId="6CBBDD49" w14:textId="77777777" w:rsidR="00AA17B1" w:rsidRPr="00AA17B1" w:rsidRDefault="00AA17B1" w:rsidP="009515E4">
            <w:pPr>
              <w:rPr>
                <w:lang w:eastAsia="en-CA"/>
              </w:rPr>
            </w:pPr>
            <w:r w:rsidRPr="00AA17B1">
              <w:rPr>
                <w:lang w:eastAsia="en-CA"/>
              </w:rPr>
              <w:t>Percent</w:t>
            </w:r>
          </w:p>
        </w:tc>
      </w:tr>
      <w:tr w:rsidR="00AA17B1" w:rsidRPr="00AA17B1" w14:paraId="5DD2110B" w14:textId="77777777" w:rsidTr="006066BD">
        <w:trPr>
          <w:trHeight w:val="372"/>
        </w:trPr>
        <w:tc>
          <w:tcPr>
            <w:tcW w:w="3860" w:type="dxa"/>
            <w:tcBorders>
              <w:top w:val="nil"/>
              <w:left w:val="single" w:sz="8" w:space="0" w:color="auto"/>
              <w:bottom w:val="single" w:sz="8" w:space="0" w:color="auto"/>
              <w:right w:val="single" w:sz="8" w:space="0" w:color="auto"/>
            </w:tcBorders>
            <w:vAlign w:val="center"/>
            <w:hideMark/>
          </w:tcPr>
          <w:p w14:paraId="716CCAAF" w14:textId="77777777" w:rsidR="00AA17B1" w:rsidRPr="00AA17B1" w:rsidRDefault="00AA17B1" w:rsidP="009515E4">
            <w:pPr>
              <w:rPr>
                <w:lang w:eastAsia="en-CA"/>
              </w:rPr>
            </w:pPr>
            <w:r w:rsidRPr="00AA17B1">
              <w:rPr>
                <w:lang w:eastAsia="en-CA"/>
              </w:rPr>
              <w:t>Yes</w:t>
            </w:r>
          </w:p>
        </w:tc>
        <w:tc>
          <w:tcPr>
            <w:tcW w:w="4140" w:type="dxa"/>
            <w:tcBorders>
              <w:top w:val="nil"/>
              <w:left w:val="nil"/>
              <w:bottom w:val="single" w:sz="8" w:space="0" w:color="auto"/>
              <w:right w:val="single" w:sz="8" w:space="0" w:color="auto"/>
            </w:tcBorders>
            <w:vAlign w:val="center"/>
            <w:hideMark/>
          </w:tcPr>
          <w:p w14:paraId="75A88A64" w14:textId="77777777" w:rsidR="00AA17B1" w:rsidRPr="00AA17B1" w:rsidRDefault="00AA17B1" w:rsidP="009515E4">
            <w:pPr>
              <w:rPr>
                <w:lang w:eastAsia="en-CA"/>
              </w:rPr>
            </w:pPr>
            <w:r w:rsidRPr="00AA17B1">
              <w:rPr>
                <w:lang w:eastAsia="en-CA"/>
              </w:rPr>
              <w:t>51.10%</w:t>
            </w:r>
          </w:p>
        </w:tc>
      </w:tr>
      <w:tr w:rsidR="00AA17B1" w:rsidRPr="00AA17B1" w14:paraId="79D819A5" w14:textId="77777777" w:rsidTr="006066BD">
        <w:trPr>
          <w:trHeight w:val="372"/>
        </w:trPr>
        <w:tc>
          <w:tcPr>
            <w:tcW w:w="3860" w:type="dxa"/>
            <w:tcBorders>
              <w:top w:val="nil"/>
              <w:left w:val="single" w:sz="8" w:space="0" w:color="auto"/>
              <w:bottom w:val="single" w:sz="8" w:space="0" w:color="auto"/>
              <w:right w:val="single" w:sz="8" w:space="0" w:color="auto"/>
            </w:tcBorders>
            <w:vAlign w:val="center"/>
            <w:hideMark/>
          </w:tcPr>
          <w:p w14:paraId="5EE4B06E" w14:textId="77777777" w:rsidR="00AA17B1" w:rsidRPr="00AA17B1" w:rsidRDefault="00AA17B1" w:rsidP="009515E4">
            <w:pPr>
              <w:rPr>
                <w:lang w:eastAsia="en-CA"/>
              </w:rPr>
            </w:pPr>
            <w:r w:rsidRPr="00AA17B1">
              <w:rPr>
                <w:lang w:eastAsia="en-CA"/>
              </w:rPr>
              <w:t>No</w:t>
            </w:r>
          </w:p>
        </w:tc>
        <w:tc>
          <w:tcPr>
            <w:tcW w:w="4140" w:type="dxa"/>
            <w:tcBorders>
              <w:top w:val="nil"/>
              <w:left w:val="nil"/>
              <w:bottom w:val="single" w:sz="8" w:space="0" w:color="auto"/>
              <w:right w:val="single" w:sz="8" w:space="0" w:color="auto"/>
            </w:tcBorders>
            <w:vAlign w:val="center"/>
            <w:hideMark/>
          </w:tcPr>
          <w:p w14:paraId="06515936" w14:textId="77777777" w:rsidR="00AA17B1" w:rsidRPr="00AA17B1" w:rsidRDefault="00AA17B1" w:rsidP="009515E4">
            <w:pPr>
              <w:rPr>
                <w:lang w:eastAsia="en-CA"/>
              </w:rPr>
            </w:pPr>
            <w:r w:rsidRPr="00AA17B1">
              <w:rPr>
                <w:lang w:eastAsia="en-CA"/>
              </w:rPr>
              <w:t>48.90%</w:t>
            </w:r>
          </w:p>
        </w:tc>
      </w:tr>
      <w:tr w:rsidR="00AA17B1" w:rsidRPr="00AA17B1" w14:paraId="6E77E51E" w14:textId="77777777" w:rsidTr="006066BD">
        <w:trPr>
          <w:trHeight w:val="864"/>
        </w:trPr>
        <w:tc>
          <w:tcPr>
            <w:tcW w:w="8000" w:type="dxa"/>
            <w:gridSpan w:val="2"/>
            <w:tcBorders>
              <w:top w:val="single" w:sz="8" w:space="0" w:color="auto"/>
              <w:left w:val="single" w:sz="8" w:space="0" w:color="auto"/>
              <w:bottom w:val="single" w:sz="8" w:space="0" w:color="auto"/>
              <w:right w:val="single" w:sz="8" w:space="0" w:color="000000"/>
            </w:tcBorders>
            <w:vAlign w:val="center"/>
            <w:hideMark/>
          </w:tcPr>
          <w:p w14:paraId="725CD583" w14:textId="77777777" w:rsidR="00AA17B1" w:rsidRPr="006066BD" w:rsidRDefault="00AA17B1" w:rsidP="009515E4">
            <w:pPr>
              <w:rPr>
                <w:b/>
                <w:bCs/>
                <w:lang w:eastAsia="en-CA"/>
              </w:rPr>
            </w:pPr>
            <w:r w:rsidRPr="006066BD">
              <w:rPr>
                <w:b/>
                <w:bCs/>
                <w:lang w:eastAsia="en-CA"/>
              </w:rPr>
              <w:t>B. Mode of transportation where refusals occurred‡</w:t>
            </w:r>
          </w:p>
        </w:tc>
      </w:tr>
      <w:tr w:rsidR="00AA17B1" w:rsidRPr="00AA17B1" w14:paraId="66421B07" w14:textId="77777777" w:rsidTr="006066BD">
        <w:trPr>
          <w:trHeight w:val="372"/>
        </w:trPr>
        <w:tc>
          <w:tcPr>
            <w:tcW w:w="3860" w:type="dxa"/>
            <w:tcBorders>
              <w:top w:val="nil"/>
              <w:left w:val="single" w:sz="8" w:space="0" w:color="auto"/>
              <w:bottom w:val="single" w:sz="8" w:space="0" w:color="auto"/>
              <w:right w:val="single" w:sz="8" w:space="0" w:color="auto"/>
            </w:tcBorders>
            <w:vAlign w:val="center"/>
            <w:hideMark/>
          </w:tcPr>
          <w:p w14:paraId="089DAAB6" w14:textId="77777777" w:rsidR="00AA17B1" w:rsidRPr="00AA17B1" w:rsidRDefault="00AA17B1" w:rsidP="009515E4">
            <w:pPr>
              <w:rPr>
                <w:lang w:eastAsia="en-CA"/>
              </w:rPr>
            </w:pPr>
            <w:r w:rsidRPr="00AA17B1">
              <w:rPr>
                <w:lang w:eastAsia="en-CA"/>
              </w:rPr>
              <w:t>Mode</w:t>
            </w:r>
          </w:p>
        </w:tc>
        <w:tc>
          <w:tcPr>
            <w:tcW w:w="4140" w:type="dxa"/>
            <w:tcBorders>
              <w:top w:val="nil"/>
              <w:left w:val="nil"/>
              <w:bottom w:val="single" w:sz="8" w:space="0" w:color="auto"/>
              <w:right w:val="single" w:sz="8" w:space="0" w:color="auto"/>
            </w:tcBorders>
            <w:vAlign w:val="center"/>
            <w:hideMark/>
          </w:tcPr>
          <w:p w14:paraId="23AAB081" w14:textId="77777777" w:rsidR="00AA17B1" w:rsidRPr="00AA17B1" w:rsidRDefault="00AA17B1" w:rsidP="009515E4">
            <w:pPr>
              <w:rPr>
                <w:lang w:eastAsia="en-CA"/>
              </w:rPr>
            </w:pPr>
            <w:r w:rsidRPr="00AA17B1">
              <w:rPr>
                <w:lang w:eastAsia="en-CA"/>
              </w:rPr>
              <w:t>Percent</w:t>
            </w:r>
          </w:p>
        </w:tc>
      </w:tr>
      <w:tr w:rsidR="00AA17B1" w:rsidRPr="00AA17B1" w14:paraId="1A351B2F" w14:textId="77777777" w:rsidTr="006066BD">
        <w:trPr>
          <w:trHeight w:val="372"/>
        </w:trPr>
        <w:tc>
          <w:tcPr>
            <w:tcW w:w="3860" w:type="dxa"/>
            <w:tcBorders>
              <w:top w:val="nil"/>
              <w:left w:val="single" w:sz="8" w:space="0" w:color="auto"/>
              <w:bottom w:val="single" w:sz="8" w:space="0" w:color="auto"/>
              <w:right w:val="single" w:sz="8" w:space="0" w:color="auto"/>
            </w:tcBorders>
            <w:vAlign w:val="center"/>
            <w:hideMark/>
          </w:tcPr>
          <w:p w14:paraId="1113D767" w14:textId="77777777" w:rsidR="00AA17B1" w:rsidRPr="00AA17B1" w:rsidRDefault="00AA17B1" w:rsidP="009515E4">
            <w:pPr>
              <w:rPr>
                <w:lang w:eastAsia="en-CA"/>
              </w:rPr>
            </w:pPr>
            <w:r w:rsidRPr="00AA17B1">
              <w:rPr>
                <w:lang w:eastAsia="en-CA"/>
              </w:rPr>
              <w:t>Taxis</w:t>
            </w:r>
          </w:p>
        </w:tc>
        <w:tc>
          <w:tcPr>
            <w:tcW w:w="4140" w:type="dxa"/>
            <w:tcBorders>
              <w:top w:val="nil"/>
              <w:left w:val="nil"/>
              <w:bottom w:val="single" w:sz="8" w:space="0" w:color="auto"/>
              <w:right w:val="single" w:sz="8" w:space="0" w:color="auto"/>
            </w:tcBorders>
            <w:vAlign w:val="center"/>
            <w:hideMark/>
          </w:tcPr>
          <w:p w14:paraId="413B478F" w14:textId="77777777" w:rsidR="00AA17B1" w:rsidRPr="00AA17B1" w:rsidRDefault="00AA17B1" w:rsidP="009515E4">
            <w:pPr>
              <w:rPr>
                <w:lang w:eastAsia="en-CA"/>
              </w:rPr>
            </w:pPr>
            <w:r w:rsidRPr="00AA17B1">
              <w:rPr>
                <w:lang w:eastAsia="en-CA"/>
              </w:rPr>
              <w:t>25.20%</w:t>
            </w:r>
          </w:p>
        </w:tc>
      </w:tr>
      <w:tr w:rsidR="00AA17B1" w:rsidRPr="00AA17B1" w14:paraId="35C58042" w14:textId="77777777" w:rsidTr="006066BD">
        <w:trPr>
          <w:trHeight w:val="876"/>
        </w:trPr>
        <w:tc>
          <w:tcPr>
            <w:tcW w:w="3860" w:type="dxa"/>
            <w:tcBorders>
              <w:top w:val="nil"/>
              <w:left w:val="single" w:sz="8" w:space="0" w:color="auto"/>
              <w:bottom w:val="single" w:sz="8" w:space="0" w:color="auto"/>
              <w:right w:val="single" w:sz="8" w:space="0" w:color="auto"/>
            </w:tcBorders>
            <w:vAlign w:val="center"/>
            <w:hideMark/>
          </w:tcPr>
          <w:p w14:paraId="02609293" w14:textId="77777777" w:rsidR="00AA17B1" w:rsidRPr="00AA17B1" w:rsidRDefault="00AA17B1" w:rsidP="009515E4">
            <w:pPr>
              <w:rPr>
                <w:lang w:eastAsia="en-CA"/>
              </w:rPr>
            </w:pPr>
            <w:r w:rsidRPr="00AA17B1">
              <w:rPr>
                <w:lang w:eastAsia="en-CA"/>
              </w:rPr>
              <w:t>Inter-provincial airlines</w:t>
            </w:r>
          </w:p>
        </w:tc>
        <w:tc>
          <w:tcPr>
            <w:tcW w:w="4140" w:type="dxa"/>
            <w:tcBorders>
              <w:top w:val="nil"/>
              <w:left w:val="nil"/>
              <w:bottom w:val="single" w:sz="8" w:space="0" w:color="auto"/>
              <w:right w:val="single" w:sz="8" w:space="0" w:color="auto"/>
            </w:tcBorders>
            <w:vAlign w:val="center"/>
            <w:hideMark/>
          </w:tcPr>
          <w:p w14:paraId="4DE3C33B" w14:textId="77777777" w:rsidR="00AA17B1" w:rsidRPr="00AA17B1" w:rsidRDefault="00AA17B1" w:rsidP="009515E4">
            <w:pPr>
              <w:rPr>
                <w:lang w:eastAsia="en-CA"/>
              </w:rPr>
            </w:pPr>
            <w:r w:rsidRPr="00AA17B1">
              <w:rPr>
                <w:lang w:eastAsia="en-CA"/>
              </w:rPr>
              <w:t>16.10%</w:t>
            </w:r>
          </w:p>
        </w:tc>
      </w:tr>
      <w:tr w:rsidR="00AA17B1" w:rsidRPr="00AA17B1" w14:paraId="2CBD0BC8" w14:textId="77777777" w:rsidTr="006066BD">
        <w:trPr>
          <w:trHeight w:val="588"/>
        </w:trPr>
        <w:tc>
          <w:tcPr>
            <w:tcW w:w="3860" w:type="dxa"/>
            <w:tcBorders>
              <w:top w:val="nil"/>
              <w:left w:val="single" w:sz="8" w:space="0" w:color="auto"/>
              <w:bottom w:val="single" w:sz="8" w:space="0" w:color="auto"/>
              <w:right w:val="single" w:sz="8" w:space="0" w:color="auto"/>
            </w:tcBorders>
            <w:vAlign w:val="center"/>
            <w:hideMark/>
          </w:tcPr>
          <w:p w14:paraId="74D63BF1" w14:textId="77777777" w:rsidR="00AA17B1" w:rsidRPr="00AA17B1" w:rsidRDefault="00AA17B1" w:rsidP="009515E4">
            <w:pPr>
              <w:rPr>
                <w:lang w:eastAsia="en-CA"/>
              </w:rPr>
            </w:pPr>
            <w:r w:rsidRPr="00AA17B1">
              <w:rPr>
                <w:lang w:eastAsia="en-CA"/>
              </w:rPr>
              <w:t>Municipal bus lines</w:t>
            </w:r>
          </w:p>
        </w:tc>
        <w:tc>
          <w:tcPr>
            <w:tcW w:w="4140" w:type="dxa"/>
            <w:tcBorders>
              <w:top w:val="nil"/>
              <w:left w:val="nil"/>
              <w:bottom w:val="single" w:sz="8" w:space="0" w:color="auto"/>
              <w:right w:val="single" w:sz="8" w:space="0" w:color="auto"/>
            </w:tcBorders>
            <w:vAlign w:val="center"/>
            <w:hideMark/>
          </w:tcPr>
          <w:p w14:paraId="59C66FD4" w14:textId="77777777" w:rsidR="00AA17B1" w:rsidRPr="00AA17B1" w:rsidRDefault="00AA17B1" w:rsidP="009515E4">
            <w:pPr>
              <w:rPr>
                <w:lang w:eastAsia="en-CA"/>
              </w:rPr>
            </w:pPr>
            <w:r w:rsidRPr="00AA17B1">
              <w:rPr>
                <w:lang w:eastAsia="en-CA"/>
              </w:rPr>
              <w:t>16.10%</w:t>
            </w:r>
          </w:p>
        </w:tc>
      </w:tr>
      <w:tr w:rsidR="00AA17B1" w:rsidRPr="00AA17B1" w14:paraId="6376731C" w14:textId="77777777" w:rsidTr="006066BD">
        <w:trPr>
          <w:trHeight w:val="588"/>
        </w:trPr>
        <w:tc>
          <w:tcPr>
            <w:tcW w:w="3860" w:type="dxa"/>
            <w:tcBorders>
              <w:top w:val="nil"/>
              <w:left w:val="single" w:sz="8" w:space="0" w:color="auto"/>
              <w:bottom w:val="single" w:sz="8" w:space="0" w:color="auto"/>
              <w:right w:val="single" w:sz="8" w:space="0" w:color="auto"/>
            </w:tcBorders>
            <w:vAlign w:val="center"/>
            <w:hideMark/>
          </w:tcPr>
          <w:p w14:paraId="6B79C37B" w14:textId="77777777" w:rsidR="00AA17B1" w:rsidRPr="00AA17B1" w:rsidRDefault="00AA17B1" w:rsidP="009515E4">
            <w:pPr>
              <w:rPr>
                <w:lang w:eastAsia="en-CA"/>
              </w:rPr>
            </w:pPr>
            <w:r w:rsidRPr="00AA17B1">
              <w:rPr>
                <w:lang w:eastAsia="en-CA"/>
              </w:rPr>
              <w:t>Ride-share companies</w:t>
            </w:r>
          </w:p>
        </w:tc>
        <w:tc>
          <w:tcPr>
            <w:tcW w:w="4140" w:type="dxa"/>
            <w:tcBorders>
              <w:top w:val="nil"/>
              <w:left w:val="nil"/>
              <w:bottom w:val="single" w:sz="8" w:space="0" w:color="auto"/>
              <w:right w:val="single" w:sz="8" w:space="0" w:color="auto"/>
            </w:tcBorders>
            <w:vAlign w:val="center"/>
            <w:hideMark/>
          </w:tcPr>
          <w:p w14:paraId="394D3EFE" w14:textId="77777777" w:rsidR="00AA17B1" w:rsidRPr="00AA17B1" w:rsidRDefault="00AA17B1" w:rsidP="009515E4">
            <w:pPr>
              <w:rPr>
                <w:lang w:eastAsia="en-CA"/>
              </w:rPr>
            </w:pPr>
            <w:r w:rsidRPr="00AA17B1">
              <w:rPr>
                <w:lang w:eastAsia="en-CA"/>
              </w:rPr>
              <w:t>11.60%</w:t>
            </w:r>
          </w:p>
        </w:tc>
      </w:tr>
      <w:tr w:rsidR="00AA17B1" w:rsidRPr="00AA17B1" w14:paraId="503B8845" w14:textId="77777777" w:rsidTr="006066BD">
        <w:trPr>
          <w:trHeight w:val="372"/>
        </w:trPr>
        <w:tc>
          <w:tcPr>
            <w:tcW w:w="8000" w:type="dxa"/>
            <w:gridSpan w:val="2"/>
            <w:tcBorders>
              <w:top w:val="single" w:sz="8" w:space="0" w:color="auto"/>
              <w:left w:val="single" w:sz="8" w:space="0" w:color="auto"/>
              <w:bottom w:val="single" w:sz="8" w:space="0" w:color="auto"/>
              <w:right w:val="single" w:sz="8" w:space="0" w:color="000000"/>
            </w:tcBorders>
            <w:vAlign w:val="center"/>
            <w:hideMark/>
          </w:tcPr>
          <w:p w14:paraId="522AD508" w14:textId="77777777" w:rsidR="00AA17B1" w:rsidRPr="006066BD" w:rsidRDefault="00AA17B1" w:rsidP="009515E4">
            <w:pPr>
              <w:rPr>
                <w:b/>
                <w:bCs/>
                <w:lang w:eastAsia="en-CA"/>
              </w:rPr>
            </w:pPr>
            <w:r w:rsidRPr="006066BD">
              <w:rPr>
                <w:b/>
                <w:bCs/>
                <w:lang w:eastAsia="en-CA"/>
              </w:rPr>
              <w:t>C. Recency of refusals‡</w:t>
            </w:r>
          </w:p>
        </w:tc>
      </w:tr>
      <w:tr w:rsidR="00AA17B1" w:rsidRPr="00AA17B1" w14:paraId="4D07801C" w14:textId="77777777" w:rsidTr="006066BD">
        <w:trPr>
          <w:trHeight w:val="588"/>
        </w:trPr>
        <w:tc>
          <w:tcPr>
            <w:tcW w:w="3860" w:type="dxa"/>
            <w:tcBorders>
              <w:top w:val="nil"/>
              <w:left w:val="single" w:sz="8" w:space="0" w:color="auto"/>
              <w:bottom w:val="single" w:sz="8" w:space="0" w:color="auto"/>
              <w:right w:val="single" w:sz="8" w:space="0" w:color="auto"/>
            </w:tcBorders>
            <w:vAlign w:val="center"/>
            <w:hideMark/>
          </w:tcPr>
          <w:p w14:paraId="16E79C48" w14:textId="77777777" w:rsidR="00AA17B1" w:rsidRPr="00AA17B1" w:rsidRDefault="00AA17B1" w:rsidP="009515E4">
            <w:pPr>
              <w:rPr>
                <w:lang w:eastAsia="en-CA"/>
              </w:rPr>
            </w:pPr>
            <w:r w:rsidRPr="00AA17B1">
              <w:rPr>
                <w:lang w:eastAsia="en-CA"/>
              </w:rPr>
              <w:t>Within the last 5 years</w:t>
            </w:r>
          </w:p>
        </w:tc>
        <w:tc>
          <w:tcPr>
            <w:tcW w:w="4140" w:type="dxa"/>
            <w:tcBorders>
              <w:top w:val="nil"/>
              <w:left w:val="nil"/>
              <w:bottom w:val="single" w:sz="8" w:space="0" w:color="auto"/>
              <w:right w:val="single" w:sz="8" w:space="0" w:color="auto"/>
            </w:tcBorders>
            <w:vAlign w:val="center"/>
            <w:hideMark/>
          </w:tcPr>
          <w:p w14:paraId="4E632822" w14:textId="77777777" w:rsidR="00AA17B1" w:rsidRPr="00AA17B1" w:rsidRDefault="00AA17B1" w:rsidP="009515E4">
            <w:pPr>
              <w:rPr>
                <w:lang w:eastAsia="en-CA"/>
              </w:rPr>
            </w:pPr>
            <w:r w:rsidRPr="00AA17B1">
              <w:rPr>
                <w:lang w:eastAsia="en-CA"/>
              </w:rPr>
              <w:t>92.80%</w:t>
            </w:r>
          </w:p>
        </w:tc>
      </w:tr>
    </w:tbl>
    <w:p w14:paraId="4A6FCA2B" w14:textId="15CC77A0" w:rsidR="00AA17B1" w:rsidRDefault="00471812" w:rsidP="009515E4">
      <w:r w:rsidRPr="00471812">
        <w:t>† Denominator: all survey respondents (n=546 complete responses). ‡ Denominator: respondents reporting transportation refusals (i.e., those answering “Yes” in Part A).</w:t>
      </w:r>
    </w:p>
    <w:p w14:paraId="256EBA89" w14:textId="77777777" w:rsidR="00D404FB" w:rsidRDefault="00D404FB" w:rsidP="009515E4">
      <w:pPr>
        <w:rPr>
          <w:lang w:eastAsia="en-CA"/>
        </w:rPr>
      </w:pPr>
      <w:r>
        <w:t>Across venues (e.g., shopping centres, grocery stores, restaurants, health care facilities, entertainment venues, government service centres, places of worship), recurring difficulty was attributed to “others’ lack of understanding,” and avoidance behaviours were reported (e.g., avoiding new venues out of fear of discrimination; sometimes choosing not to bring a guide dog). Descriptive subgroup differences by province/territory, age, and community size were also reported for selected venues.</w:t>
      </w:r>
    </w:p>
    <w:p w14:paraId="3D932A1B" w14:textId="77777777" w:rsidR="00D404FB" w:rsidRDefault="00D404FB" w:rsidP="009515E4">
      <w:pPr>
        <w:rPr>
          <w:lang w:eastAsia="en-CA"/>
        </w:rPr>
      </w:pPr>
      <w:r>
        <w:t>In venue-specific items (10 public spaces, plus transportation and education), additional descriptive indicators are presented for frequency of difficulty, perceived impact, and avoidance behaviours. Illustratively: for shopping centres, 36.6% reported difficulty accessing shopping centres at least 3–4 times per year due to others’ lack of understanding; 21.3% reported avoiding new shopping centres at least somewhat due to fear of discrimination; and 35.7% reported sometimes choosing not to bring their guide dog. For grocery stores, 32.1% reported difficulty at least 3–4 times per year; 20.9% reported avoiding new grocery stores at least somewhat; and 33.0% reported sometimes choosing not to bring their guide dog. For restaurants, nearly one-third reported trouble accessing restaurants at least 3–4 times per year and 31.4% reported sometimes choosing not to bring their guide dog.</w:t>
      </w:r>
    </w:p>
    <w:p w14:paraId="47C64CA6" w14:textId="77777777" w:rsidR="00D404FB" w:rsidRDefault="00D404FB" w:rsidP="009515E4">
      <w:pPr>
        <w:rPr>
          <w:lang w:eastAsia="en-CA"/>
        </w:rPr>
      </w:pPr>
      <w:r>
        <w:t>The transportation “terminal” pathway was also characterized as consequential. In this dataset, 27.1% reported having trouble accessing transportation terminals (airports, ferry terminals, rail/bus terminals) at least 3–4 times per year due to others’ lack of understanding; 28% reported that such difficulties impacted their lives at least somewhat; 18.4% reported avoiding new terminals at least somewhat due to fear of discrimination; and 24.8% reported sometimes choosing not to bring a guide dog to terminals. In educational settings (e.g., university/college/schools), 21.5% reported trouble accessing educational institutions at least 3–4 times per year; almost 16% reported that this impacted their lives at least somewhat; 13.4% reported avoiding new educational institutions at least somewhat due to fear of discrimination; and almost 22% reported sometimes choosing not to bring their guide dog.</w:t>
      </w:r>
    </w:p>
    <w:p w14:paraId="531EDE18" w14:textId="32893CC1" w:rsidR="006066BD" w:rsidRDefault="006066BD" w:rsidP="006066BD">
      <w:pPr>
        <w:pStyle w:val="Caption"/>
        <w:keepNext/>
      </w:pPr>
      <w:r>
        <w:t xml:space="preserve">Table </w:t>
      </w:r>
      <w:r>
        <w:fldChar w:fldCharType="begin"/>
      </w:r>
      <w:r>
        <w:instrText xml:space="preserve"> SEQ Table \* ARABIC </w:instrText>
      </w:r>
      <w:r>
        <w:fldChar w:fldCharType="separate"/>
      </w:r>
      <w:r w:rsidR="00085764">
        <w:rPr>
          <w:noProof/>
        </w:rPr>
        <w:t>5</w:t>
      </w:r>
      <w:r>
        <w:fldChar w:fldCharType="end"/>
      </w:r>
      <w:r>
        <w:t xml:space="preserve"> </w:t>
      </w:r>
      <w:r w:rsidRPr="009E00C2">
        <w:t>Selected venue-specific barrier indicators (Guide Dog Handlers Experiences Survey)</w:t>
      </w:r>
    </w:p>
    <w:tbl>
      <w:tblPr>
        <w:tblW w:w="5000" w:type="pct"/>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3151"/>
        <w:gridCol w:w="1808"/>
        <w:gridCol w:w="1274"/>
        <w:gridCol w:w="86"/>
        <w:gridCol w:w="1791"/>
        <w:gridCol w:w="1360"/>
      </w:tblGrid>
      <w:tr w:rsidR="004E5574" w14:paraId="17E84019" w14:textId="77777777" w:rsidTr="004E5574">
        <w:trPr>
          <w:tblCellSpacing w:w="15" w:type="dxa"/>
        </w:trPr>
        <w:tc>
          <w:tcPr>
            <w:tcW w:w="0" w:type="auto"/>
            <w:vAlign w:val="center"/>
            <w:hideMark/>
          </w:tcPr>
          <w:p w14:paraId="3A8B11E5" w14:textId="77777777" w:rsidR="004E5574" w:rsidRPr="006066BD" w:rsidRDefault="004E5574" w:rsidP="00BE3A22">
            <w:pPr>
              <w:pStyle w:val="NoSpacing"/>
              <w:ind w:firstLine="0"/>
              <w:rPr>
                <w:b/>
                <w:bCs/>
              </w:rPr>
            </w:pPr>
            <w:r w:rsidRPr="006066BD">
              <w:rPr>
                <w:b/>
                <w:bCs/>
              </w:rPr>
              <w:t>Setting</w:t>
            </w:r>
          </w:p>
        </w:tc>
        <w:tc>
          <w:tcPr>
            <w:tcW w:w="0" w:type="auto"/>
            <w:vAlign w:val="center"/>
            <w:hideMark/>
          </w:tcPr>
          <w:p w14:paraId="043A4D3F" w14:textId="77777777" w:rsidR="004E5574" w:rsidRPr="006066BD" w:rsidRDefault="004E5574" w:rsidP="006066BD">
            <w:pPr>
              <w:pStyle w:val="NoSpacing"/>
              <w:ind w:firstLine="90"/>
              <w:rPr>
                <w:b/>
                <w:bCs/>
              </w:rPr>
            </w:pPr>
            <w:r w:rsidRPr="006066BD">
              <w:rPr>
                <w:b/>
                <w:bCs/>
              </w:rPr>
              <w:t>Trouble accessing ≥3–4 times/year (due to others’ lack of understanding)</w:t>
            </w:r>
          </w:p>
        </w:tc>
        <w:tc>
          <w:tcPr>
            <w:tcW w:w="0" w:type="auto"/>
            <w:vAlign w:val="center"/>
            <w:hideMark/>
          </w:tcPr>
          <w:p w14:paraId="4BB20F33" w14:textId="77777777" w:rsidR="004E5574" w:rsidRPr="006066BD" w:rsidRDefault="004E5574" w:rsidP="006066BD">
            <w:pPr>
              <w:pStyle w:val="NoSpacing"/>
              <w:ind w:firstLine="0"/>
              <w:rPr>
                <w:b/>
                <w:bCs/>
              </w:rPr>
            </w:pPr>
            <w:r w:rsidRPr="006066BD">
              <w:rPr>
                <w:b/>
                <w:bCs/>
              </w:rPr>
              <w:t>Impacted daily life at least somewhat</w:t>
            </w:r>
          </w:p>
        </w:tc>
        <w:tc>
          <w:tcPr>
            <w:tcW w:w="0" w:type="auto"/>
          </w:tcPr>
          <w:p w14:paraId="16A0B8D6" w14:textId="77777777" w:rsidR="004E5574" w:rsidRPr="006066BD" w:rsidRDefault="004E5574" w:rsidP="006066BD">
            <w:pPr>
              <w:pStyle w:val="NoSpacing"/>
              <w:ind w:firstLine="90"/>
              <w:rPr>
                <w:b/>
                <w:bCs/>
              </w:rPr>
            </w:pPr>
          </w:p>
        </w:tc>
        <w:tc>
          <w:tcPr>
            <w:tcW w:w="0" w:type="auto"/>
            <w:vAlign w:val="center"/>
            <w:hideMark/>
          </w:tcPr>
          <w:p w14:paraId="08FE02E7" w14:textId="0511CAE0" w:rsidR="004E5574" w:rsidRPr="006066BD" w:rsidRDefault="004E5574" w:rsidP="006066BD">
            <w:pPr>
              <w:pStyle w:val="NoSpacing"/>
              <w:ind w:firstLine="0"/>
              <w:rPr>
                <w:b/>
                <w:bCs/>
              </w:rPr>
            </w:pPr>
            <w:r w:rsidRPr="006066BD">
              <w:rPr>
                <w:b/>
                <w:bCs/>
              </w:rPr>
              <w:t>Avoided new venues at least somewhat (fear of discrimination)</w:t>
            </w:r>
          </w:p>
        </w:tc>
        <w:tc>
          <w:tcPr>
            <w:tcW w:w="0" w:type="auto"/>
            <w:vAlign w:val="center"/>
            <w:hideMark/>
          </w:tcPr>
          <w:p w14:paraId="13C21690" w14:textId="77777777" w:rsidR="004E5574" w:rsidRPr="006066BD" w:rsidRDefault="004E5574" w:rsidP="006066BD">
            <w:pPr>
              <w:pStyle w:val="NoSpacing"/>
              <w:ind w:firstLine="0"/>
              <w:rPr>
                <w:b/>
                <w:bCs/>
              </w:rPr>
            </w:pPr>
            <w:r w:rsidRPr="006066BD">
              <w:rPr>
                <w:b/>
                <w:bCs/>
              </w:rPr>
              <w:t>Sometimes chose not to bring guide dog</w:t>
            </w:r>
          </w:p>
        </w:tc>
      </w:tr>
      <w:tr w:rsidR="004E5574" w14:paraId="69FEED3B" w14:textId="77777777" w:rsidTr="004E5574">
        <w:trPr>
          <w:tblCellSpacing w:w="15" w:type="dxa"/>
        </w:trPr>
        <w:tc>
          <w:tcPr>
            <w:tcW w:w="0" w:type="auto"/>
            <w:vAlign w:val="center"/>
            <w:hideMark/>
          </w:tcPr>
          <w:p w14:paraId="43EFB1E2" w14:textId="77777777" w:rsidR="004E5574" w:rsidRDefault="004E5574" w:rsidP="00BE3A22">
            <w:pPr>
              <w:pStyle w:val="NoSpacing"/>
              <w:ind w:firstLine="0"/>
            </w:pPr>
            <w:r>
              <w:t>Shopping centres</w:t>
            </w:r>
          </w:p>
        </w:tc>
        <w:tc>
          <w:tcPr>
            <w:tcW w:w="0" w:type="auto"/>
            <w:vAlign w:val="center"/>
            <w:hideMark/>
          </w:tcPr>
          <w:p w14:paraId="5D880AC9" w14:textId="77777777" w:rsidR="004E5574" w:rsidRDefault="004E5574" w:rsidP="00BE3A22">
            <w:pPr>
              <w:pStyle w:val="NoSpacing"/>
              <w:ind w:firstLine="9"/>
            </w:pPr>
            <w:r>
              <w:t>36.6%</w:t>
            </w:r>
          </w:p>
        </w:tc>
        <w:tc>
          <w:tcPr>
            <w:tcW w:w="0" w:type="auto"/>
            <w:vAlign w:val="center"/>
            <w:hideMark/>
          </w:tcPr>
          <w:p w14:paraId="47129923" w14:textId="77777777" w:rsidR="004E5574" w:rsidRDefault="004E5574" w:rsidP="00BE3A22">
            <w:pPr>
              <w:pStyle w:val="NoSpacing"/>
              <w:ind w:firstLine="9"/>
            </w:pPr>
            <w:r>
              <w:t>30.3%</w:t>
            </w:r>
          </w:p>
        </w:tc>
        <w:tc>
          <w:tcPr>
            <w:tcW w:w="0" w:type="auto"/>
          </w:tcPr>
          <w:p w14:paraId="2BA8253C" w14:textId="77777777" w:rsidR="004E5574" w:rsidRDefault="004E5574" w:rsidP="00BE3A22">
            <w:pPr>
              <w:pStyle w:val="NoSpacing"/>
              <w:ind w:firstLine="9"/>
            </w:pPr>
          </w:p>
        </w:tc>
        <w:tc>
          <w:tcPr>
            <w:tcW w:w="0" w:type="auto"/>
            <w:vAlign w:val="center"/>
            <w:hideMark/>
          </w:tcPr>
          <w:p w14:paraId="2F899E92" w14:textId="1EE3FE86" w:rsidR="004E5574" w:rsidRDefault="004E5574" w:rsidP="00BE3A22">
            <w:pPr>
              <w:pStyle w:val="NoSpacing"/>
              <w:ind w:firstLine="9"/>
            </w:pPr>
            <w:r>
              <w:t>21.3%</w:t>
            </w:r>
          </w:p>
        </w:tc>
        <w:tc>
          <w:tcPr>
            <w:tcW w:w="0" w:type="auto"/>
            <w:vAlign w:val="center"/>
            <w:hideMark/>
          </w:tcPr>
          <w:p w14:paraId="4D950C1F" w14:textId="77777777" w:rsidR="004E5574" w:rsidRDefault="004E5574" w:rsidP="00BE3A22">
            <w:pPr>
              <w:pStyle w:val="NoSpacing"/>
              <w:ind w:firstLine="9"/>
            </w:pPr>
            <w:r>
              <w:t>35.7%</w:t>
            </w:r>
          </w:p>
        </w:tc>
      </w:tr>
      <w:tr w:rsidR="004E5574" w14:paraId="6F70CD20" w14:textId="77777777" w:rsidTr="004E5574">
        <w:trPr>
          <w:tblCellSpacing w:w="15" w:type="dxa"/>
        </w:trPr>
        <w:tc>
          <w:tcPr>
            <w:tcW w:w="0" w:type="auto"/>
            <w:vAlign w:val="center"/>
            <w:hideMark/>
          </w:tcPr>
          <w:p w14:paraId="73DFE6D1" w14:textId="77777777" w:rsidR="004E5574" w:rsidRDefault="004E5574" w:rsidP="00BE3A22">
            <w:pPr>
              <w:pStyle w:val="NoSpacing"/>
              <w:ind w:firstLine="0"/>
            </w:pPr>
            <w:r>
              <w:t>Restaurants</w:t>
            </w:r>
          </w:p>
        </w:tc>
        <w:tc>
          <w:tcPr>
            <w:tcW w:w="0" w:type="auto"/>
            <w:vAlign w:val="center"/>
            <w:hideMark/>
          </w:tcPr>
          <w:p w14:paraId="7E3E650C" w14:textId="77777777" w:rsidR="004E5574" w:rsidRDefault="004E5574" w:rsidP="00BE3A22">
            <w:pPr>
              <w:pStyle w:val="NoSpacing"/>
              <w:ind w:firstLine="9"/>
              <w:rPr>
                <w:lang w:eastAsia="en-CA"/>
              </w:rPr>
            </w:pPr>
            <w:r>
              <w:t>Almost one-third</w:t>
            </w:r>
          </w:p>
          <w:p w14:paraId="6FA6DFD3" w14:textId="032003CC" w:rsidR="004E5574" w:rsidRDefault="004E5574" w:rsidP="00BE3A22">
            <w:pPr>
              <w:pStyle w:val="NoSpacing"/>
              <w:ind w:firstLine="9"/>
            </w:pPr>
          </w:p>
        </w:tc>
        <w:tc>
          <w:tcPr>
            <w:tcW w:w="0" w:type="auto"/>
            <w:vAlign w:val="center"/>
            <w:hideMark/>
          </w:tcPr>
          <w:p w14:paraId="6FE5A440" w14:textId="77777777" w:rsidR="004E5574" w:rsidRDefault="004E5574" w:rsidP="00BE3A22">
            <w:pPr>
              <w:pStyle w:val="NoSpacing"/>
              <w:ind w:firstLine="9"/>
            </w:pPr>
            <w:r>
              <w:t>25.6%</w:t>
            </w:r>
          </w:p>
        </w:tc>
        <w:tc>
          <w:tcPr>
            <w:tcW w:w="0" w:type="auto"/>
          </w:tcPr>
          <w:p w14:paraId="74BFF2DF" w14:textId="77777777" w:rsidR="004E5574" w:rsidRDefault="004E5574" w:rsidP="00BE3A22">
            <w:pPr>
              <w:pStyle w:val="NoSpacing"/>
              <w:ind w:firstLine="9"/>
            </w:pPr>
          </w:p>
        </w:tc>
        <w:tc>
          <w:tcPr>
            <w:tcW w:w="0" w:type="auto"/>
            <w:vAlign w:val="center"/>
            <w:hideMark/>
          </w:tcPr>
          <w:p w14:paraId="4AE91D71" w14:textId="7E4D40E8" w:rsidR="004E5574" w:rsidRDefault="004E5574" w:rsidP="00BE3A22">
            <w:pPr>
              <w:pStyle w:val="NoSpacing"/>
              <w:ind w:firstLine="9"/>
              <w:rPr>
                <w:lang w:eastAsia="en-CA"/>
              </w:rPr>
            </w:pPr>
            <w:r>
              <w:t>Almost 25%</w:t>
            </w:r>
          </w:p>
          <w:p w14:paraId="57DB1C2A" w14:textId="0E681B39" w:rsidR="004E5574" w:rsidRDefault="004E5574" w:rsidP="00BE3A22">
            <w:pPr>
              <w:pStyle w:val="NoSpacing"/>
              <w:ind w:firstLine="9"/>
            </w:pPr>
          </w:p>
        </w:tc>
        <w:tc>
          <w:tcPr>
            <w:tcW w:w="0" w:type="auto"/>
            <w:vAlign w:val="center"/>
            <w:hideMark/>
          </w:tcPr>
          <w:p w14:paraId="0BD46D46" w14:textId="77777777" w:rsidR="004E5574" w:rsidRDefault="004E5574" w:rsidP="00BE3A22">
            <w:pPr>
              <w:pStyle w:val="NoSpacing"/>
              <w:ind w:firstLine="9"/>
            </w:pPr>
            <w:r>
              <w:t>31.4%</w:t>
            </w:r>
          </w:p>
        </w:tc>
      </w:tr>
      <w:tr w:rsidR="004E5574" w14:paraId="2A8B3DDC" w14:textId="77777777" w:rsidTr="004E5574">
        <w:trPr>
          <w:tblCellSpacing w:w="15" w:type="dxa"/>
        </w:trPr>
        <w:tc>
          <w:tcPr>
            <w:tcW w:w="0" w:type="auto"/>
            <w:vAlign w:val="center"/>
            <w:hideMark/>
          </w:tcPr>
          <w:p w14:paraId="557A3564" w14:textId="77777777" w:rsidR="004E5574" w:rsidRDefault="004E5574" w:rsidP="00BE3A22">
            <w:pPr>
              <w:pStyle w:val="NoSpacing"/>
              <w:ind w:firstLine="0"/>
            </w:pPr>
            <w:r>
              <w:t>Transportation terminals (airports, ferry terminals, rail/bus terminals)</w:t>
            </w:r>
          </w:p>
        </w:tc>
        <w:tc>
          <w:tcPr>
            <w:tcW w:w="0" w:type="auto"/>
            <w:vAlign w:val="center"/>
            <w:hideMark/>
          </w:tcPr>
          <w:p w14:paraId="4C5F2567" w14:textId="77777777" w:rsidR="004E5574" w:rsidRDefault="004E5574" w:rsidP="00BE3A22">
            <w:pPr>
              <w:pStyle w:val="NoSpacing"/>
              <w:ind w:firstLine="9"/>
            </w:pPr>
            <w:r>
              <w:t>27.1%</w:t>
            </w:r>
          </w:p>
        </w:tc>
        <w:tc>
          <w:tcPr>
            <w:tcW w:w="0" w:type="auto"/>
            <w:vAlign w:val="center"/>
            <w:hideMark/>
          </w:tcPr>
          <w:p w14:paraId="792AC5B8" w14:textId="77777777" w:rsidR="004E5574" w:rsidRDefault="004E5574" w:rsidP="00BE3A22">
            <w:pPr>
              <w:pStyle w:val="NoSpacing"/>
              <w:ind w:firstLine="9"/>
            </w:pPr>
            <w:r>
              <w:t>28%</w:t>
            </w:r>
          </w:p>
        </w:tc>
        <w:tc>
          <w:tcPr>
            <w:tcW w:w="0" w:type="auto"/>
          </w:tcPr>
          <w:p w14:paraId="7906A91C" w14:textId="77777777" w:rsidR="004E5574" w:rsidRDefault="004E5574" w:rsidP="00BE3A22">
            <w:pPr>
              <w:pStyle w:val="NoSpacing"/>
              <w:ind w:firstLine="9"/>
            </w:pPr>
          </w:p>
        </w:tc>
        <w:tc>
          <w:tcPr>
            <w:tcW w:w="0" w:type="auto"/>
            <w:vAlign w:val="center"/>
            <w:hideMark/>
          </w:tcPr>
          <w:p w14:paraId="78F013DC" w14:textId="1C97723F" w:rsidR="004E5574" w:rsidRDefault="004E5574" w:rsidP="00BE3A22">
            <w:pPr>
              <w:pStyle w:val="NoSpacing"/>
              <w:ind w:firstLine="9"/>
            </w:pPr>
            <w:r>
              <w:t>18.4%</w:t>
            </w:r>
          </w:p>
        </w:tc>
        <w:tc>
          <w:tcPr>
            <w:tcW w:w="0" w:type="auto"/>
            <w:vAlign w:val="center"/>
            <w:hideMark/>
          </w:tcPr>
          <w:p w14:paraId="2D36CE0B" w14:textId="77777777" w:rsidR="004E5574" w:rsidRDefault="004E5574" w:rsidP="00BE3A22">
            <w:pPr>
              <w:pStyle w:val="NoSpacing"/>
              <w:ind w:firstLine="9"/>
            </w:pPr>
            <w:r>
              <w:t>24.8%</w:t>
            </w:r>
          </w:p>
        </w:tc>
      </w:tr>
      <w:tr w:rsidR="004E5574" w14:paraId="4F6A18B8" w14:textId="77777777" w:rsidTr="004E5574">
        <w:trPr>
          <w:tblCellSpacing w:w="15" w:type="dxa"/>
        </w:trPr>
        <w:tc>
          <w:tcPr>
            <w:tcW w:w="0" w:type="auto"/>
            <w:vAlign w:val="center"/>
            <w:hideMark/>
          </w:tcPr>
          <w:p w14:paraId="3AD0EDCD" w14:textId="77777777" w:rsidR="004E5574" w:rsidRDefault="004E5574" w:rsidP="00BE3A22">
            <w:pPr>
              <w:pStyle w:val="NoSpacing"/>
              <w:ind w:firstLine="0"/>
            </w:pPr>
            <w:r>
              <w:t>Educational institutions (university/college/schools)</w:t>
            </w:r>
          </w:p>
        </w:tc>
        <w:tc>
          <w:tcPr>
            <w:tcW w:w="0" w:type="auto"/>
            <w:vAlign w:val="center"/>
            <w:hideMark/>
          </w:tcPr>
          <w:p w14:paraId="7C3F92E2" w14:textId="77777777" w:rsidR="004E5574" w:rsidRDefault="004E5574" w:rsidP="00BE3A22">
            <w:pPr>
              <w:pStyle w:val="NoSpacing"/>
              <w:ind w:firstLine="9"/>
            </w:pPr>
            <w:r>
              <w:t>21.5%</w:t>
            </w:r>
          </w:p>
        </w:tc>
        <w:tc>
          <w:tcPr>
            <w:tcW w:w="0" w:type="auto"/>
            <w:vAlign w:val="center"/>
            <w:hideMark/>
          </w:tcPr>
          <w:p w14:paraId="6F4259C4" w14:textId="77777777" w:rsidR="004E5574" w:rsidRDefault="004E5574" w:rsidP="00BE3A22">
            <w:pPr>
              <w:pStyle w:val="NoSpacing"/>
              <w:ind w:firstLine="9"/>
              <w:rPr>
                <w:lang w:eastAsia="en-CA"/>
              </w:rPr>
            </w:pPr>
            <w:r>
              <w:t>Almost 16%</w:t>
            </w:r>
          </w:p>
          <w:p w14:paraId="2DF2D7E5" w14:textId="3C35992E" w:rsidR="004E5574" w:rsidRDefault="004E5574" w:rsidP="00BE3A22">
            <w:pPr>
              <w:pStyle w:val="NoSpacing"/>
              <w:ind w:firstLine="9"/>
            </w:pPr>
          </w:p>
        </w:tc>
        <w:tc>
          <w:tcPr>
            <w:tcW w:w="0" w:type="auto"/>
          </w:tcPr>
          <w:p w14:paraId="70A8B43E" w14:textId="77777777" w:rsidR="004E5574" w:rsidRDefault="004E5574" w:rsidP="00BE3A22">
            <w:pPr>
              <w:pStyle w:val="NoSpacing"/>
              <w:ind w:firstLine="9"/>
            </w:pPr>
          </w:p>
        </w:tc>
        <w:tc>
          <w:tcPr>
            <w:tcW w:w="0" w:type="auto"/>
            <w:vAlign w:val="center"/>
            <w:hideMark/>
          </w:tcPr>
          <w:p w14:paraId="58514654" w14:textId="1E9C63AD" w:rsidR="004E5574" w:rsidRDefault="004E5574" w:rsidP="00BE3A22">
            <w:pPr>
              <w:pStyle w:val="NoSpacing"/>
              <w:ind w:firstLine="9"/>
            </w:pPr>
            <w:r>
              <w:t>13.4%</w:t>
            </w:r>
          </w:p>
        </w:tc>
        <w:tc>
          <w:tcPr>
            <w:tcW w:w="0" w:type="auto"/>
            <w:vAlign w:val="center"/>
            <w:hideMark/>
          </w:tcPr>
          <w:p w14:paraId="71AE4855" w14:textId="77777777" w:rsidR="004E5574" w:rsidRDefault="004E5574" w:rsidP="00BE3A22">
            <w:pPr>
              <w:pStyle w:val="NoSpacing"/>
              <w:ind w:firstLine="9"/>
              <w:rPr>
                <w:lang w:eastAsia="en-CA"/>
              </w:rPr>
            </w:pPr>
            <w:r>
              <w:t>Almost 22%</w:t>
            </w:r>
          </w:p>
          <w:p w14:paraId="4103F210" w14:textId="1F0DDB99" w:rsidR="004E5574" w:rsidRDefault="004E5574" w:rsidP="00BE3A22">
            <w:pPr>
              <w:pStyle w:val="NoSpacing"/>
              <w:ind w:firstLine="9"/>
            </w:pPr>
          </w:p>
        </w:tc>
      </w:tr>
    </w:tbl>
    <w:p w14:paraId="34431A92" w14:textId="77777777" w:rsidR="000A336D" w:rsidRDefault="3D0B5717" w:rsidP="009515E4">
      <w:pPr>
        <w:pStyle w:val="Heading2"/>
        <w:rPr>
          <w:sz w:val="30"/>
          <w:szCs w:val="30"/>
        </w:rPr>
      </w:pPr>
      <w:bookmarkStart w:id="125" w:name="_Toc1387364867"/>
      <w:bookmarkStart w:id="126" w:name="_Toc360392938"/>
      <w:bookmarkStart w:id="127" w:name="_Toc750786332"/>
      <w:bookmarkStart w:id="128" w:name="_Toc547819361"/>
      <w:bookmarkStart w:id="129" w:name="_Toc809857356"/>
      <w:bookmarkStart w:id="130" w:name="_Toc699398712"/>
      <w:bookmarkStart w:id="131" w:name="_Toc1845516073"/>
      <w:bookmarkStart w:id="132" w:name="_Toc1745196195"/>
      <w:bookmarkStart w:id="133" w:name="_Toc1566875224"/>
      <w:bookmarkStart w:id="134" w:name="_Toc225876204"/>
      <w:r>
        <w:t>4.2 Results II — Lived experience and mechanisms (qualitative themes)</w:t>
      </w:r>
      <w:bookmarkEnd w:id="125"/>
      <w:bookmarkEnd w:id="126"/>
      <w:bookmarkEnd w:id="127"/>
      <w:bookmarkEnd w:id="128"/>
      <w:bookmarkEnd w:id="129"/>
      <w:bookmarkEnd w:id="130"/>
      <w:bookmarkEnd w:id="131"/>
      <w:bookmarkEnd w:id="132"/>
      <w:bookmarkEnd w:id="133"/>
      <w:bookmarkEnd w:id="134"/>
    </w:p>
    <w:p w14:paraId="0D5F10B5" w14:textId="77777777" w:rsidR="000A336D" w:rsidRDefault="000A336D" w:rsidP="009515E4">
      <w:r>
        <w:t>Qualitative inputs from the advisory committee, co-design sessions, and focus groups consistently framed access denials as a recurring, cumulative burden that affects mobility and social participation. Participants emphasized that, despite legal protections, access is “far from guaranteed” in day-to-day settings and that handlers are often placed in the position of having to educate others or advocate in the moment.</w:t>
      </w:r>
    </w:p>
    <w:p w14:paraId="1310B60A" w14:textId="77777777" w:rsidR="000A336D" w:rsidRDefault="3D0B5717" w:rsidP="009515E4">
      <w:r w:rsidRPr="6A0D869D">
        <w:rPr>
          <w:b/>
          <w:bCs/>
        </w:rPr>
        <w:t>Behaviour as a legitimacy marker:</w:t>
      </w:r>
      <w:r w:rsidRPr="6A0D869D">
        <w:t xml:space="preserve"> Many participants argued that good working behaviour is the “true test” of a legitimate guide </w:t>
      </w:r>
      <w:proofErr w:type="gramStart"/>
      <w:r w:rsidRPr="6A0D869D">
        <w:t>dog, and</w:t>
      </w:r>
      <w:proofErr w:type="gramEnd"/>
      <w:r w:rsidRPr="6A0D869D">
        <w:t xml:space="preserve"> expressed concern that identification requirements can be unreliable and place disproportionate demands on handlers (including pressure to share personal information).</w:t>
      </w:r>
    </w:p>
    <w:p w14:paraId="03245FA6" w14:textId="77777777" w:rsidR="000A336D" w:rsidRDefault="3D0B5717" w:rsidP="009515E4">
      <w:r w:rsidRPr="6A0D869D">
        <w:rPr>
          <w:b/>
          <w:bCs/>
        </w:rPr>
        <w:t>Certification/identification debates and equity concerns:</w:t>
      </w:r>
      <w:r w:rsidRPr="6A0D869D">
        <w:t xml:space="preserve"> Stakeholders described tensions between jurisdictions that emphasize certification/ID and those that emphasize behaviour-based assessment, and highlighted perceived inequities for owner-trainers where separate assessment/certification processes exist.</w:t>
      </w:r>
    </w:p>
    <w:p w14:paraId="257617C2" w14:textId="77777777" w:rsidR="000A336D" w:rsidRDefault="3D0B5717" w:rsidP="009515E4">
      <w:r w:rsidRPr="6A0D869D">
        <w:rPr>
          <w:b/>
          <w:bCs/>
        </w:rPr>
        <w:t>Transportation access as a recurring barrier:</w:t>
      </w:r>
      <w:r w:rsidRPr="6A0D869D">
        <w:t xml:space="preserve"> Focus group and co-design participants described common refusals, cancellations, or non-pickups in taxi and ride-share contexts, and highlighted burdens associated with air travel processes (e.g., inconsistent airline implementation, accessibility of forms, and challenges navigating airports and aircraft with a guide dog).</w:t>
      </w:r>
    </w:p>
    <w:p w14:paraId="4B11E21F" w14:textId="77777777" w:rsidR="00D404FB" w:rsidRDefault="00D404FB" w:rsidP="009515E4">
      <w:pPr>
        <w:rPr>
          <w:lang w:eastAsia="en-CA"/>
        </w:rPr>
      </w:pPr>
      <w:r>
        <w:rPr>
          <w:b/>
        </w:rPr>
        <w:t>Enforcement and complaint pathways:</w:t>
      </w:r>
      <w:r>
        <w:t xml:space="preserve"> Participants described slow or difficult redress processes and raised concerns about front-line awareness among enforcement bodies, contributing to uncertainty about recourse when an access denial occurs.</w:t>
      </w:r>
    </w:p>
    <w:p w14:paraId="6F298F7C" w14:textId="77777777" w:rsidR="000A336D" w:rsidRDefault="3D0B5717" w:rsidP="009515E4">
      <w:r w:rsidRPr="6A0D869D">
        <w:rPr>
          <w:b/>
          <w:bCs/>
        </w:rPr>
        <w:t>Public education as a priority solution:</w:t>
      </w:r>
      <w:r w:rsidRPr="6A0D869D">
        <w:t xml:space="preserve"> Participants repeatedly called for broad public education, including school-based education and training for service providers, and suggested that lived experience should be central to designing and delivering education efforts.</w:t>
      </w:r>
    </w:p>
    <w:p w14:paraId="28727871" w14:textId="77777777" w:rsidR="000A336D" w:rsidRDefault="3D0B5717" w:rsidP="009515E4">
      <w:pPr>
        <w:pStyle w:val="Heading2"/>
        <w:rPr>
          <w:sz w:val="30"/>
          <w:szCs w:val="30"/>
        </w:rPr>
      </w:pPr>
      <w:bookmarkStart w:id="135" w:name="_Toc521258077"/>
      <w:bookmarkStart w:id="136" w:name="_Toc354035656"/>
      <w:bookmarkStart w:id="137" w:name="_Toc161235584"/>
      <w:bookmarkStart w:id="138" w:name="_Toc119136183"/>
      <w:bookmarkStart w:id="139" w:name="_Toc715446869"/>
      <w:bookmarkStart w:id="140" w:name="_Toc1050453257"/>
      <w:bookmarkStart w:id="141" w:name="_Toc2132950828"/>
      <w:bookmarkStart w:id="142" w:name="_Toc985368925"/>
      <w:bookmarkStart w:id="143" w:name="_Toc234679455"/>
      <w:bookmarkStart w:id="144" w:name="_Toc225876205"/>
      <w:r>
        <w:t>4.3 Results III — Policy and systems landscape (jurisdictional review synthesis)</w:t>
      </w:r>
      <w:bookmarkEnd w:id="135"/>
      <w:bookmarkEnd w:id="136"/>
      <w:bookmarkEnd w:id="137"/>
      <w:bookmarkEnd w:id="138"/>
      <w:bookmarkEnd w:id="139"/>
      <w:bookmarkEnd w:id="140"/>
      <w:bookmarkEnd w:id="141"/>
      <w:bookmarkEnd w:id="142"/>
      <w:bookmarkEnd w:id="143"/>
      <w:bookmarkEnd w:id="144"/>
    </w:p>
    <w:p w14:paraId="635C9E6E" w14:textId="77777777" w:rsidR="00D404FB" w:rsidRDefault="00D404FB" w:rsidP="009515E4">
      <w:pPr>
        <w:rPr>
          <w:lang w:eastAsia="en-CA"/>
        </w:rPr>
      </w:pPr>
      <w:r>
        <w:t>The jurisdictional review component (March–April 2022) was designed to establish a baseline description of the formal legal landscape for guide dog access. It examined Canada’s 10 provinces and 3 territories and reviewed 41 international jurisdictions, including the United States under the Americans with Disabilities Act (ADA) and guide dog legislation in 30 U.S. states. The review also sampled jurisdictions across multiple continents and noted emerging international standardization activity, including draft work on the “European Standard for Assistance Dogs” under the European Committee for Standardization (CEN/TC 452).</w:t>
      </w:r>
    </w:p>
    <w:p w14:paraId="25185E1B" w14:textId="77777777" w:rsidR="00D404FB" w:rsidRDefault="00D404FB" w:rsidP="009515E4">
      <w:pPr>
        <w:rPr>
          <w:lang w:eastAsia="en-CA"/>
        </w:rPr>
      </w:pPr>
      <w:r>
        <w:t>Across jurisdictions, there is substantial convergence in where guide dogs are legally permitted (broad public access, with limited exceptions such as some sterile environments and food preparation areas) and in general expectations of handler control. In contrast, jurisdictions diverge more substantially in (1) certification and identification requirements; (2) the extent to which service providers may ask questions; (3) the design and enforcement of penalties; and (4) whether protections are primarily operationalized through specific guide dog legislation versus general human rights frameworks.</w:t>
      </w:r>
    </w:p>
    <w:p w14:paraId="1CE40273" w14:textId="56A0845D" w:rsidR="6A0D869D" w:rsidRDefault="6A0D869D" w:rsidP="009515E4"/>
    <w:p w14:paraId="2E09D6C9" w14:textId="68EF4A87" w:rsidR="000E0E4F" w:rsidRDefault="000E0E4F" w:rsidP="000E0E4F">
      <w:pPr>
        <w:pStyle w:val="Caption"/>
        <w:keepNext/>
      </w:pPr>
      <w:r>
        <w:t xml:space="preserve">Table </w:t>
      </w:r>
      <w:r>
        <w:fldChar w:fldCharType="begin"/>
      </w:r>
      <w:r>
        <w:instrText xml:space="preserve"> SEQ Table \* ARABIC </w:instrText>
      </w:r>
      <w:r>
        <w:fldChar w:fldCharType="separate"/>
      </w:r>
      <w:r w:rsidR="00085764">
        <w:rPr>
          <w:noProof/>
        </w:rPr>
        <w:t>6</w:t>
      </w:r>
      <w:r>
        <w:fldChar w:fldCharType="end"/>
      </w:r>
      <w:r>
        <w:t xml:space="preserve"> </w:t>
      </w:r>
      <w:r w:rsidRPr="00AF5D5F">
        <w:t>Table 6. Policy typology used in the jurisdictional synthesis (conceptual)</w:t>
      </w:r>
    </w:p>
    <w:tbl>
      <w:tblPr>
        <w:tblW w:w="5000" w:type="pct"/>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333"/>
        <w:gridCol w:w="4075"/>
        <w:gridCol w:w="3062"/>
      </w:tblGrid>
      <w:tr w:rsidR="000A336D" w14:paraId="78FD7738" w14:textId="77777777" w:rsidTr="008B2E14">
        <w:trPr>
          <w:cantSplit/>
          <w:tblHeader/>
          <w:tblCellSpacing w:w="15" w:type="dxa"/>
        </w:trPr>
        <w:tc>
          <w:tcPr>
            <w:tcW w:w="0" w:type="auto"/>
            <w:vAlign w:val="center"/>
            <w:hideMark/>
          </w:tcPr>
          <w:p w14:paraId="1AA9F300" w14:textId="77777777" w:rsidR="000A336D" w:rsidRDefault="000A336D" w:rsidP="000E0E4F">
            <w:pPr>
              <w:pStyle w:val="NoSpacing"/>
            </w:pPr>
            <w:r>
              <w:t>Policy dimension</w:t>
            </w:r>
          </w:p>
        </w:tc>
        <w:tc>
          <w:tcPr>
            <w:tcW w:w="0" w:type="auto"/>
            <w:vAlign w:val="center"/>
            <w:hideMark/>
          </w:tcPr>
          <w:p w14:paraId="7F2CCAF0" w14:textId="77777777" w:rsidR="00D404FB" w:rsidRDefault="00D404FB" w:rsidP="000E0E4F">
            <w:pPr>
              <w:pStyle w:val="NoSpacing"/>
              <w:rPr>
                <w:lang w:eastAsia="en-CA"/>
              </w:rPr>
            </w:pPr>
            <w:r>
              <w:t>Illustrative approaches</w:t>
            </w:r>
          </w:p>
          <w:p w14:paraId="04DBF5FC" w14:textId="074F1031" w:rsidR="000A336D" w:rsidRDefault="000A336D" w:rsidP="000E0E4F">
            <w:pPr>
              <w:pStyle w:val="NoSpacing"/>
            </w:pPr>
          </w:p>
        </w:tc>
        <w:tc>
          <w:tcPr>
            <w:tcW w:w="0" w:type="auto"/>
            <w:vAlign w:val="center"/>
            <w:hideMark/>
          </w:tcPr>
          <w:p w14:paraId="05933C55" w14:textId="77777777" w:rsidR="00D404FB" w:rsidRDefault="00D404FB" w:rsidP="000E0E4F">
            <w:pPr>
              <w:pStyle w:val="NoSpacing"/>
              <w:rPr>
                <w:lang w:eastAsia="en-CA"/>
              </w:rPr>
            </w:pPr>
            <w:r>
              <w:t>Implications</w:t>
            </w:r>
          </w:p>
          <w:p w14:paraId="057873C1" w14:textId="5571B0AA" w:rsidR="000A336D" w:rsidRDefault="000A336D" w:rsidP="000E0E4F">
            <w:pPr>
              <w:pStyle w:val="NoSpacing"/>
            </w:pPr>
          </w:p>
        </w:tc>
      </w:tr>
      <w:tr w:rsidR="000A336D" w14:paraId="615694E4" w14:textId="77777777" w:rsidTr="008B2E14">
        <w:trPr>
          <w:tblCellSpacing w:w="15" w:type="dxa"/>
        </w:trPr>
        <w:tc>
          <w:tcPr>
            <w:tcW w:w="0" w:type="auto"/>
            <w:vAlign w:val="center"/>
            <w:hideMark/>
          </w:tcPr>
          <w:p w14:paraId="2ED3A3D1" w14:textId="77777777" w:rsidR="000A336D" w:rsidRDefault="000A336D" w:rsidP="000E0E4F">
            <w:pPr>
              <w:pStyle w:val="NoSpacing"/>
            </w:pPr>
            <w:r>
              <w:t>Recognition mechanism for working teams</w:t>
            </w:r>
          </w:p>
        </w:tc>
        <w:tc>
          <w:tcPr>
            <w:tcW w:w="0" w:type="auto"/>
            <w:vAlign w:val="center"/>
            <w:hideMark/>
          </w:tcPr>
          <w:p w14:paraId="0840682A" w14:textId="77777777" w:rsidR="000A336D" w:rsidRDefault="000A336D" w:rsidP="000E0E4F">
            <w:pPr>
              <w:pStyle w:val="NoSpacing"/>
            </w:pPr>
            <w:r>
              <w:t>Behaviour-centred approaches; Identification/certification-leaning approaches; Hybrid models</w:t>
            </w:r>
          </w:p>
        </w:tc>
        <w:tc>
          <w:tcPr>
            <w:tcW w:w="0" w:type="auto"/>
            <w:vAlign w:val="center"/>
            <w:hideMark/>
          </w:tcPr>
          <w:p w14:paraId="29E8C191" w14:textId="77777777" w:rsidR="000A336D" w:rsidRDefault="000A336D" w:rsidP="000E0E4F">
            <w:pPr>
              <w:pStyle w:val="NoSpacing"/>
            </w:pPr>
            <w:r>
              <w:t>Tension between minimizing handler burden and providing clarity for service providers; risk of inconsistent “proof” demands</w:t>
            </w:r>
          </w:p>
        </w:tc>
      </w:tr>
      <w:tr w:rsidR="000A336D" w14:paraId="6805F881" w14:textId="77777777" w:rsidTr="008B2E14">
        <w:trPr>
          <w:tblCellSpacing w:w="15" w:type="dxa"/>
        </w:trPr>
        <w:tc>
          <w:tcPr>
            <w:tcW w:w="0" w:type="auto"/>
            <w:vAlign w:val="center"/>
            <w:hideMark/>
          </w:tcPr>
          <w:p w14:paraId="519AD807" w14:textId="77777777" w:rsidR="000A336D" w:rsidRDefault="000A336D" w:rsidP="000E0E4F">
            <w:pPr>
              <w:pStyle w:val="NoSpacing"/>
            </w:pPr>
            <w:r>
              <w:t>Primary legal vehicle for access protection</w:t>
            </w:r>
          </w:p>
        </w:tc>
        <w:tc>
          <w:tcPr>
            <w:tcW w:w="0" w:type="auto"/>
            <w:vAlign w:val="center"/>
            <w:hideMark/>
          </w:tcPr>
          <w:p w14:paraId="3C5E5F48" w14:textId="77777777" w:rsidR="000A336D" w:rsidRDefault="000A336D" w:rsidP="000E0E4F">
            <w:pPr>
              <w:pStyle w:val="NoSpacing"/>
            </w:pPr>
            <w:r>
              <w:t>Specific guide dog/service dog legislation; Human-rights-led frameworks; Mixed approaches</w:t>
            </w:r>
          </w:p>
        </w:tc>
        <w:tc>
          <w:tcPr>
            <w:tcW w:w="0" w:type="auto"/>
            <w:vAlign w:val="center"/>
            <w:hideMark/>
          </w:tcPr>
          <w:p w14:paraId="0B7A25BA" w14:textId="3B3AC288" w:rsidR="000A336D" w:rsidRDefault="006C228D" w:rsidP="000E0E4F">
            <w:pPr>
              <w:pStyle w:val="NoSpacing"/>
            </w:pPr>
            <w:r>
              <w:t>H</w:t>
            </w:r>
            <w:r w:rsidR="000A336D">
              <w:t>uman-rights-led protections may be more favourable in some practical contexts</w:t>
            </w:r>
          </w:p>
        </w:tc>
      </w:tr>
      <w:tr w:rsidR="000A336D" w14:paraId="239CE1AC" w14:textId="77777777" w:rsidTr="008B2E14">
        <w:trPr>
          <w:tblCellSpacing w:w="15" w:type="dxa"/>
        </w:trPr>
        <w:tc>
          <w:tcPr>
            <w:tcW w:w="0" w:type="auto"/>
            <w:vAlign w:val="center"/>
            <w:hideMark/>
          </w:tcPr>
          <w:p w14:paraId="481B65F2" w14:textId="77777777" w:rsidR="000A336D" w:rsidRDefault="000A336D" w:rsidP="000E0E4F">
            <w:pPr>
              <w:pStyle w:val="NoSpacing"/>
            </w:pPr>
            <w:r>
              <w:t>Enforcement and redress pathway</w:t>
            </w:r>
          </w:p>
        </w:tc>
        <w:tc>
          <w:tcPr>
            <w:tcW w:w="0" w:type="auto"/>
            <w:vAlign w:val="center"/>
            <w:hideMark/>
          </w:tcPr>
          <w:p w14:paraId="5E22E322" w14:textId="77777777" w:rsidR="000A336D" w:rsidRDefault="000A336D" w:rsidP="000E0E4F">
            <w:pPr>
              <w:pStyle w:val="NoSpacing"/>
            </w:pPr>
            <w:r>
              <w:t>Police/penalty models; Human rights complaint/tribunal processes; Mixed enforcement</w:t>
            </w:r>
          </w:p>
        </w:tc>
        <w:tc>
          <w:tcPr>
            <w:tcW w:w="0" w:type="auto"/>
            <w:vAlign w:val="center"/>
            <w:hideMark/>
          </w:tcPr>
          <w:p w14:paraId="7B70709B" w14:textId="77777777" w:rsidR="000A336D" w:rsidRDefault="000A336D" w:rsidP="000E0E4F">
            <w:pPr>
              <w:pStyle w:val="NoSpacing"/>
            </w:pPr>
            <w:r>
              <w:t>Stakeholders reported uneven enforcement and slow/burdensome recourse, potentially limiting deterrence</w:t>
            </w:r>
          </w:p>
        </w:tc>
      </w:tr>
      <w:tr w:rsidR="000A336D" w14:paraId="24D3834F" w14:textId="77777777" w:rsidTr="008B2E14">
        <w:trPr>
          <w:tblCellSpacing w:w="15" w:type="dxa"/>
        </w:trPr>
        <w:tc>
          <w:tcPr>
            <w:tcW w:w="0" w:type="auto"/>
            <w:vAlign w:val="center"/>
            <w:hideMark/>
          </w:tcPr>
          <w:p w14:paraId="548A4499" w14:textId="77777777" w:rsidR="000A336D" w:rsidRDefault="000A336D" w:rsidP="000E0E4F">
            <w:pPr>
              <w:pStyle w:val="NoSpacing"/>
            </w:pPr>
            <w:r>
              <w:t>Accommodation of competing rights (e.g., allergies, religion)</w:t>
            </w:r>
          </w:p>
        </w:tc>
        <w:tc>
          <w:tcPr>
            <w:tcW w:w="0" w:type="auto"/>
            <w:vAlign w:val="center"/>
            <w:hideMark/>
          </w:tcPr>
          <w:p w14:paraId="57767580" w14:textId="77777777" w:rsidR="000A336D" w:rsidRDefault="000A336D" w:rsidP="000E0E4F">
            <w:pPr>
              <w:pStyle w:val="NoSpacing"/>
            </w:pPr>
            <w:r>
              <w:t>Case-by-case accommodation; “Undue hardship” thresholds; Explicit prioritization of access with accommodation for others where feasible</w:t>
            </w:r>
          </w:p>
        </w:tc>
        <w:tc>
          <w:tcPr>
            <w:tcW w:w="0" w:type="auto"/>
            <w:vAlign w:val="center"/>
            <w:hideMark/>
          </w:tcPr>
          <w:p w14:paraId="107F97D1" w14:textId="77777777" w:rsidR="00581CCD" w:rsidRDefault="00581CCD" w:rsidP="000E0E4F">
            <w:pPr>
              <w:pStyle w:val="NoSpacing"/>
              <w:rPr>
                <w:lang w:eastAsia="en-CA"/>
              </w:rPr>
            </w:pPr>
            <w:r>
              <w:t>Implementation depends on operational policies and awareness; workable compromise mechanisms are needed.</w:t>
            </w:r>
          </w:p>
          <w:p w14:paraId="76869A1F" w14:textId="1AA3945E" w:rsidR="000A336D" w:rsidRDefault="000A336D" w:rsidP="000E0E4F">
            <w:pPr>
              <w:pStyle w:val="NoSpacing"/>
            </w:pPr>
          </w:p>
        </w:tc>
      </w:tr>
    </w:tbl>
    <w:p w14:paraId="0CF3F96B" w14:textId="77777777" w:rsidR="006441F0" w:rsidRDefault="006441F0" w:rsidP="009515E4">
      <w:pPr>
        <w:rPr>
          <w:lang w:eastAsia="en-CA"/>
        </w:rPr>
      </w:pPr>
      <w:bookmarkStart w:id="145" w:name="_Toc2094251543"/>
      <w:bookmarkStart w:id="146" w:name="_Toc1497180005"/>
      <w:bookmarkStart w:id="147" w:name="_Toc225879038"/>
      <w:bookmarkStart w:id="148" w:name="_Toc1763438823"/>
      <w:bookmarkStart w:id="149" w:name="_Toc1148339047"/>
      <w:bookmarkStart w:id="150" w:name="_Toc1251632224"/>
      <w:bookmarkStart w:id="151" w:name="_Toc1365632132"/>
      <w:bookmarkStart w:id="152" w:name="_Toc867559581"/>
      <w:bookmarkStart w:id="153" w:name="_Toc447375016"/>
      <w:r>
        <w:t>The review also highlights that many jurisdictions condition continued public access on handler control and appropriate animal behaviour, permitting exclusion when an animal is not under control or poses a safety risk. Penalties and fines for access denials exist in many jurisdictions, but the evidence raises questions about their deterrent effect and notes stakeholder concerns that penalties are often not enforced in practice. In addition, the review contrasts approaches grounded primarily in specific guide dog legislation versus those grounded in human rights frameworks; across jurisdictions, human-rights-based approaches may provide more favourable practical protections in some contexts.</w:t>
      </w:r>
    </w:p>
    <w:p w14:paraId="7E5E145F" w14:textId="77777777" w:rsidR="00D404FB" w:rsidRDefault="00D404FB" w:rsidP="009515E4">
      <w:pPr>
        <w:rPr>
          <w:lang w:eastAsia="en-CA"/>
        </w:rPr>
      </w:pPr>
      <w:r>
        <w:t>For transportation, there is variation in documentation expectations and operational practices across jurisdictions. The review also highlights U.S. state “white cane”/driving laws as a potential best practice for protecting the safety of guide dog and white cane travellers, alongside Ipsos findings on public support for right-of-way concepts.</w:t>
      </w:r>
    </w:p>
    <w:p w14:paraId="2D15B62A" w14:textId="77777777" w:rsidR="000A336D" w:rsidRDefault="3D0B5717" w:rsidP="009515E4">
      <w:pPr>
        <w:pStyle w:val="Heading2"/>
        <w:rPr>
          <w:sz w:val="30"/>
          <w:szCs w:val="30"/>
        </w:rPr>
      </w:pPr>
      <w:bookmarkStart w:id="154" w:name="_Toc225876206"/>
      <w:r>
        <w:t>4.4 Results IV — Public attitudes (Ipsos Reid)</w:t>
      </w:r>
      <w:bookmarkEnd w:id="145"/>
      <w:bookmarkEnd w:id="146"/>
      <w:bookmarkEnd w:id="147"/>
      <w:bookmarkEnd w:id="148"/>
      <w:bookmarkEnd w:id="149"/>
      <w:bookmarkEnd w:id="150"/>
      <w:bookmarkEnd w:id="151"/>
      <w:bookmarkEnd w:id="152"/>
      <w:bookmarkEnd w:id="153"/>
      <w:bookmarkEnd w:id="154"/>
    </w:p>
    <w:p w14:paraId="4DB2326E" w14:textId="77777777" w:rsidR="00D404FB" w:rsidRDefault="00D404FB" w:rsidP="009515E4">
      <w:pPr>
        <w:rPr>
          <w:lang w:eastAsia="en-CA"/>
        </w:rPr>
      </w:pPr>
      <w:r>
        <w:t>The Ipsos Reid public attitudes survey (August 16–22, 2022; n=1,001) highlighted gaps in public awareness and limited direct contact with guide dog users. In this sample, 39% of respondents believed most people do not know how to effectively and respectfully assist and interact with people who use a guide dog. Just over half (55%) said that they were aware of the differences between a guide dog, a service dog, and an emotional support animal, and 42% understood that people who use guide dogs are still being denied access to public places.</w:t>
      </w:r>
    </w:p>
    <w:p w14:paraId="7F910C82" w14:textId="77777777" w:rsidR="00517FEA" w:rsidRDefault="00517FEA" w:rsidP="009515E4">
      <w:pPr>
        <w:pStyle w:val="Caption"/>
        <w:rPr>
          <w:lang w:eastAsia="en-CA"/>
        </w:rPr>
      </w:pPr>
      <w:bookmarkStart w:id="155" w:name="_Toc225874637"/>
      <w:r>
        <w:t xml:space="preserve">Table </w:t>
      </w:r>
      <w:bookmarkEnd w:id="155"/>
      <w:r>
        <w:t xml:space="preserve">7. </w:t>
      </w:r>
      <w:r w:rsidRPr="0030677B">
        <w:t>Selected public attitudes indicators (Ipsos Reid survey; August 16–22, 2022; n=1,001)</w:t>
      </w:r>
    </w:p>
    <w:p w14:paraId="3F5025C3" w14:textId="7A6189CA" w:rsidR="00085764" w:rsidRPr="00085764" w:rsidRDefault="00085764" w:rsidP="00085764">
      <w:pPr>
        <w:pStyle w:val="Caption"/>
        <w:keepNext/>
      </w:pPr>
      <w:r>
        <w:t xml:space="preserve">Table </w:t>
      </w:r>
      <w:r>
        <w:fldChar w:fldCharType="begin"/>
      </w:r>
      <w:r>
        <w:instrText xml:space="preserve"> SEQ Table \* ARABIC </w:instrText>
      </w:r>
      <w:r>
        <w:fldChar w:fldCharType="separate"/>
      </w:r>
      <w:r>
        <w:rPr>
          <w:noProof/>
        </w:rPr>
        <w:t>7</w:t>
      </w:r>
      <w:r>
        <w:fldChar w:fldCharType="end"/>
      </w:r>
      <w:r>
        <w:t xml:space="preserve"> </w:t>
      </w:r>
      <w:r w:rsidRPr="00B024C6">
        <w:t>Selected public attitudes indicators (Ipsos Reid survey; August 16–22, 2022; n=1</w:t>
      </w:r>
      <w:r w:rsidRPr="00085764">
        <w:t>,001)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06"/>
        <w:gridCol w:w="1684"/>
      </w:tblGrid>
      <w:tr w:rsidR="000A336D" w:rsidRPr="00085764" w14:paraId="1F2B8E4A"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0F866F71" w14:textId="2311DC27" w:rsidR="000A336D" w:rsidRPr="00085764" w:rsidRDefault="000A336D" w:rsidP="00085764">
            <w:pPr>
              <w:pStyle w:val="NoSpacing"/>
              <w:rPr>
                <w:b/>
              </w:rPr>
            </w:pPr>
            <w:r w:rsidRPr="00085764">
              <w:rPr>
                <w:b/>
              </w:rPr>
              <w:t>Indicator</w:t>
            </w:r>
          </w:p>
        </w:tc>
        <w:tc>
          <w:tcPr>
            <w:tcW w:w="864" w:type="pct"/>
            <w:tcBorders>
              <w:top w:val="single" w:sz="8" w:space="0" w:color="auto"/>
              <w:left w:val="single" w:sz="8" w:space="0" w:color="auto"/>
              <w:bottom w:val="single" w:sz="8" w:space="0" w:color="auto"/>
              <w:right w:val="single" w:sz="8" w:space="0" w:color="auto"/>
            </w:tcBorders>
            <w:vAlign w:val="center"/>
            <w:hideMark/>
          </w:tcPr>
          <w:p w14:paraId="336E07BC" w14:textId="77777777" w:rsidR="000A336D" w:rsidRPr="00085764" w:rsidRDefault="000A336D" w:rsidP="00085764">
            <w:pPr>
              <w:pStyle w:val="NoSpacing"/>
              <w:rPr>
                <w:b/>
              </w:rPr>
            </w:pPr>
            <w:r w:rsidRPr="00085764">
              <w:rPr>
                <w:b/>
              </w:rPr>
              <w:t>Result</w:t>
            </w:r>
          </w:p>
        </w:tc>
      </w:tr>
      <w:tr w:rsidR="000A336D" w14:paraId="41EF8194"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1B2E0339" w14:textId="6A705E32" w:rsidR="00D404FB" w:rsidRDefault="00D404FB" w:rsidP="00085764">
            <w:pPr>
              <w:pStyle w:val="NoSpacing"/>
              <w:rPr>
                <w:lang w:eastAsia="en-CA"/>
              </w:rPr>
            </w:pPr>
            <w:r>
              <w:t xml:space="preserve">Indicator </w:t>
            </w:r>
          </w:p>
          <w:p w14:paraId="64FE824D" w14:textId="7C491816" w:rsidR="000A336D" w:rsidRDefault="000A336D" w:rsidP="00085764">
            <w:pPr>
              <w:pStyle w:val="NoSpacing"/>
              <w:rPr>
                <w:rFonts w:eastAsia="Verdana"/>
              </w:rPr>
            </w:pPr>
          </w:p>
        </w:tc>
        <w:tc>
          <w:tcPr>
            <w:tcW w:w="864" w:type="pct"/>
            <w:tcBorders>
              <w:top w:val="single" w:sz="8" w:space="0" w:color="auto"/>
              <w:left w:val="single" w:sz="8" w:space="0" w:color="auto"/>
              <w:bottom w:val="single" w:sz="8" w:space="0" w:color="auto"/>
              <w:right w:val="single" w:sz="8" w:space="0" w:color="auto"/>
            </w:tcBorders>
            <w:vAlign w:val="center"/>
            <w:hideMark/>
          </w:tcPr>
          <w:p w14:paraId="12D9A083" w14:textId="77777777" w:rsidR="000A336D" w:rsidRDefault="000A336D" w:rsidP="00085764">
            <w:pPr>
              <w:pStyle w:val="NoSpacing"/>
            </w:pPr>
            <w:r>
              <w:t>39%</w:t>
            </w:r>
          </w:p>
        </w:tc>
      </w:tr>
      <w:tr w:rsidR="000A336D" w14:paraId="231B1ECC"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1C4AE941" w14:textId="77777777" w:rsidR="000A336D" w:rsidRDefault="000A336D" w:rsidP="00085764">
            <w:pPr>
              <w:pStyle w:val="NoSpacing"/>
            </w:pPr>
            <w:r>
              <w:t>Aware of differences between a guide dog, a service dog, and an emotional support animal</w:t>
            </w:r>
          </w:p>
        </w:tc>
        <w:tc>
          <w:tcPr>
            <w:tcW w:w="864" w:type="pct"/>
            <w:tcBorders>
              <w:top w:val="single" w:sz="8" w:space="0" w:color="auto"/>
              <w:left w:val="single" w:sz="8" w:space="0" w:color="auto"/>
              <w:bottom w:val="single" w:sz="8" w:space="0" w:color="auto"/>
              <w:right w:val="single" w:sz="8" w:space="0" w:color="auto"/>
            </w:tcBorders>
            <w:vAlign w:val="center"/>
            <w:hideMark/>
          </w:tcPr>
          <w:p w14:paraId="00E317F7" w14:textId="77777777" w:rsidR="000A336D" w:rsidRDefault="000A336D" w:rsidP="00085764">
            <w:pPr>
              <w:pStyle w:val="NoSpacing"/>
            </w:pPr>
            <w:r>
              <w:t>55%</w:t>
            </w:r>
          </w:p>
        </w:tc>
      </w:tr>
      <w:tr w:rsidR="000A336D" w14:paraId="556ADCE3"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62793733" w14:textId="77777777" w:rsidR="000A336D" w:rsidRDefault="000A336D" w:rsidP="00085764">
            <w:pPr>
              <w:pStyle w:val="NoSpacing"/>
            </w:pPr>
            <w:r>
              <w:t>Understand that people who use guide dogs are still being denied access to public places</w:t>
            </w:r>
          </w:p>
        </w:tc>
        <w:tc>
          <w:tcPr>
            <w:tcW w:w="864" w:type="pct"/>
            <w:tcBorders>
              <w:top w:val="single" w:sz="8" w:space="0" w:color="auto"/>
              <w:left w:val="single" w:sz="8" w:space="0" w:color="auto"/>
              <w:bottom w:val="single" w:sz="8" w:space="0" w:color="auto"/>
              <w:right w:val="single" w:sz="8" w:space="0" w:color="auto"/>
            </w:tcBorders>
            <w:vAlign w:val="center"/>
            <w:hideMark/>
          </w:tcPr>
          <w:p w14:paraId="5F47829E" w14:textId="77777777" w:rsidR="000A336D" w:rsidRDefault="000A336D" w:rsidP="00085764">
            <w:pPr>
              <w:pStyle w:val="NoSpacing"/>
            </w:pPr>
            <w:r>
              <w:t>42%</w:t>
            </w:r>
          </w:p>
        </w:tc>
      </w:tr>
      <w:tr w:rsidR="000A336D" w14:paraId="4A8144C3"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7FA8C31B" w14:textId="77777777" w:rsidR="000A336D" w:rsidRDefault="000A336D" w:rsidP="00085764">
            <w:pPr>
              <w:pStyle w:val="NoSpacing"/>
            </w:pPr>
            <w:r>
              <w:t>Have never met a person who uses a guide dog</w:t>
            </w:r>
          </w:p>
        </w:tc>
        <w:tc>
          <w:tcPr>
            <w:tcW w:w="864" w:type="pct"/>
            <w:tcBorders>
              <w:top w:val="single" w:sz="8" w:space="0" w:color="auto"/>
              <w:left w:val="single" w:sz="8" w:space="0" w:color="auto"/>
              <w:bottom w:val="single" w:sz="8" w:space="0" w:color="auto"/>
              <w:right w:val="single" w:sz="8" w:space="0" w:color="auto"/>
            </w:tcBorders>
            <w:vAlign w:val="center"/>
            <w:hideMark/>
          </w:tcPr>
          <w:p w14:paraId="0851F06D" w14:textId="77777777" w:rsidR="000A336D" w:rsidRDefault="000A336D" w:rsidP="00085764">
            <w:pPr>
              <w:pStyle w:val="NoSpacing"/>
            </w:pPr>
            <w:r>
              <w:t>43%</w:t>
            </w:r>
          </w:p>
        </w:tc>
      </w:tr>
      <w:tr w:rsidR="000A336D" w14:paraId="3074109B" w14:textId="77777777" w:rsidTr="00085764">
        <w:trPr>
          <w:tblCellSpacing w:w="15" w:type="dxa"/>
        </w:trPr>
        <w:tc>
          <w:tcPr>
            <w:tcW w:w="4089" w:type="pct"/>
            <w:tcBorders>
              <w:top w:val="single" w:sz="8" w:space="0" w:color="auto"/>
              <w:left w:val="single" w:sz="8" w:space="0" w:color="auto"/>
              <w:bottom w:val="single" w:sz="8" w:space="0" w:color="auto"/>
              <w:right w:val="single" w:sz="8" w:space="0" w:color="auto"/>
            </w:tcBorders>
            <w:vAlign w:val="center"/>
            <w:hideMark/>
          </w:tcPr>
          <w:p w14:paraId="5C37CB66" w14:textId="77777777" w:rsidR="000A336D" w:rsidRDefault="000A336D" w:rsidP="00085764">
            <w:pPr>
              <w:pStyle w:val="NoSpacing"/>
            </w:pPr>
            <w:r>
              <w:t>Have not had even brief conversations with a guide dog user</w:t>
            </w:r>
          </w:p>
        </w:tc>
        <w:tc>
          <w:tcPr>
            <w:tcW w:w="864" w:type="pct"/>
            <w:tcBorders>
              <w:top w:val="single" w:sz="8" w:space="0" w:color="auto"/>
              <w:left w:val="single" w:sz="8" w:space="0" w:color="auto"/>
              <w:bottom w:val="single" w:sz="8" w:space="0" w:color="auto"/>
              <w:right w:val="single" w:sz="8" w:space="0" w:color="auto"/>
            </w:tcBorders>
            <w:vAlign w:val="center"/>
            <w:hideMark/>
          </w:tcPr>
          <w:p w14:paraId="6382EABC" w14:textId="77777777" w:rsidR="000A336D" w:rsidRDefault="000A336D" w:rsidP="00085764">
            <w:pPr>
              <w:pStyle w:val="NoSpacing"/>
            </w:pPr>
            <w:r>
              <w:t>55%</w:t>
            </w:r>
          </w:p>
        </w:tc>
      </w:tr>
    </w:tbl>
    <w:p w14:paraId="0464D5B4" w14:textId="77777777" w:rsidR="00D404FB" w:rsidRDefault="00D404FB" w:rsidP="009515E4">
      <w:pPr>
        <w:rPr>
          <w:lang w:eastAsia="en-CA"/>
        </w:rPr>
      </w:pPr>
      <w:r>
        <w:t>These findings support the need for broader public education and service-provider training.</w:t>
      </w:r>
    </w:p>
    <w:p w14:paraId="06C2FE4B" w14:textId="77777777" w:rsidR="00D404FB" w:rsidRDefault="00D404FB" w:rsidP="009515E4">
      <w:pPr>
        <w:rPr>
          <w:lang w:eastAsia="en-CA"/>
        </w:rPr>
      </w:pPr>
      <w:bookmarkStart w:id="156" w:name="_Toc297006536"/>
      <w:bookmarkStart w:id="157" w:name="_Toc1139352284"/>
      <w:bookmarkStart w:id="158" w:name="_Toc872421714"/>
      <w:bookmarkStart w:id="159" w:name="_Toc1241701681"/>
      <w:bookmarkStart w:id="160" w:name="_Toc1995608258"/>
      <w:bookmarkStart w:id="161" w:name="_Toc1131271964"/>
      <w:bookmarkStart w:id="162" w:name="_Toc1993606593"/>
      <w:bookmarkStart w:id="163" w:name="_Toc2104218286"/>
      <w:bookmarkStart w:id="164" w:name="_Toc1872514635"/>
      <w:r>
        <w:rPr>
          <w:b/>
        </w:rPr>
        <w:t>Synthesis across evidence streams.</w:t>
      </w:r>
      <w:r>
        <w:t xml:space="preserve"> Across the survey findings, stakeholder engagement, and the jurisdictional scan, the evidence supports a consistent interpretation: access denials persist not because public access protections are absent “on paper,” but because implementation and enforcement are uneven. Quantitatively, transportation is prominent both as a high-impact barrier location (13.4%) and as an area where refusals are frequently reported (51.1%), while the Ipsos findings indicate substantial public uncertainty and limited contact with guide dog users (e.g., 39% reporting low confidence in respectful interaction; 43% never having met a guide dog user). Qualitative accounts help explain how these barriers manifest in practice (e.g., documentation demands, inconsistent staff knowledge, and burdensome complaint pathways), and the jurisdictional review contextualizes these experiences within a multi-jurisdiction “patchwork” of recognition and enforcement approaches.</w:t>
      </w:r>
    </w:p>
    <w:p w14:paraId="3C552359" w14:textId="77777777" w:rsidR="000A336D" w:rsidRDefault="3D0B5717" w:rsidP="009515E4">
      <w:pPr>
        <w:pStyle w:val="Heading1"/>
        <w:rPr>
          <w:kern w:val="36"/>
          <w:sz w:val="32"/>
          <w:szCs w:val="32"/>
        </w:rPr>
      </w:pPr>
      <w:bookmarkStart w:id="165" w:name="_Toc225876207"/>
      <w:r>
        <w:t>5. Discussion</w:t>
      </w:r>
      <w:bookmarkEnd w:id="156"/>
      <w:bookmarkEnd w:id="157"/>
      <w:bookmarkEnd w:id="158"/>
      <w:bookmarkEnd w:id="159"/>
      <w:bookmarkEnd w:id="160"/>
      <w:bookmarkEnd w:id="161"/>
      <w:bookmarkEnd w:id="162"/>
      <w:bookmarkEnd w:id="163"/>
      <w:bookmarkEnd w:id="164"/>
      <w:bookmarkEnd w:id="165"/>
    </w:p>
    <w:p w14:paraId="20C0B007" w14:textId="77777777" w:rsidR="00D404FB" w:rsidRDefault="00D404FB" w:rsidP="009515E4">
      <w:pPr>
        <w:rPr>
          <w:lang w:eastAsia="en-CA"/>
        </w:rPr>
      </w:pPr>
      <w:r>
        <w:t>Across quantitative survey findings, qualitative stakeholder inputs, and the jurisdictional synthesis, the evidence indicates that persistent access denials are not attributable solely to the absence of formal legal protections. Instead, the evidence presented indicates a multi-level implementation problem shaped by (i) uneven public and service-provider knowledge, (ii) variable organizational practices across sectors and jurisdictions, and (iii) limited usability and/or timeliness of enforcement and complaint pathways. These factors appear to interact with a multi-jurisdictional landscape in which guide dog handlers must navigate non-uniform definitions, documentation expectations, and enforcement approaches.</w:t>
      </w:r>
    </w:p>
    <w:p w14:paraId="1B2893BD" w14:textId="77777777" w:rsidR="00D404FB" w:rsidRDefault="00D404FB" w:rsidP="009515E4">
      <w:pPr>
        <w:rPr>
          <w:lang w:eastAsia="en-CA"/>
        </w:rPr>
      </w:pPr>
      <w:r>
        <w:t>A central tension concerns whether legitimacy is best established through documentation (certification/identification) or through behaviour-based expectations (control, appropriate conduct in public). Stakeholders highlighted that documentation can be inconsistent, is susceptible to misunderstanding, and may increase pressure on handlers to disclose personal information. At the same time, policy variation across provinces raises equity concerns where additional certification processes are imposed on owner-trained guide dog teams.</w:t>
      </w:r>
    </w:p>
    <w:p w14:paraId="005CA4C3" w14:textId="77777777" w:rsidR="00D404FB" w:rsidRDefault="00D404FB" w:rsidP="009515E4">
      <w:pPr>
        <w:rPr>
          <w:lang w:eastAsia="en-CA"/>
        </w:rPr>
      </w:pPr>
      <w:r>
        <w:t>Transportation functions as a high-impact setting because access denials can immediately prevent mobility and participation. The evidence base includes survey-based refusals and qualitative accounts of refusals and cancellations in taxi and ride-share contexts, as well as inconsistent air travel processes and accessibility concerns (e.g., documentation workflows and staff support across the travel ecosystem). This supports an emphasis on clearer operational processes, consistent staff training, and accountability mechanisms within transportation services.</w:t>
      </w:r>
    </w:p>
    <w:p w14:paraId="3D3CABF1" w14:textId="77777777" w:rsidR="00D404FB" w:rsidRDefault="00D404FB" w:rsidP="009515E4">
      <w:pPr>
        <w:rPr>
          <w:lang w:eastAsia="en-CA"/>
        </w:rPr>
      </w:pPr>
      <w:bookmarkStart w:id="166" w:name="_Toc377572375"/>
      <w:bookmarkStart w:id="167" w:name="_Toc835810220"/>
      <w:bookmarkStart w:id="168" w:name="_Toc499294294"/>
      <w:bookmarkStart w:id="169" w:name="_Toc2004661710"/>
      <w:bookmarkStart w:id="170" w:name="_Toc1348365164"/>
      <w:bookmarkStart w:id="171" w:name="_Toc710372139"/>
      <w:bookmarkStart w:id="172" w:name="_Toc1262750516"/>
      <w:bookmarkStart w:id="173" w:name="_Toc1788565860"/>
      <w:bookmarkStart w:id="174" w:name="_Toc1482828823"/>
      <w:r>
        <w:t>Finally, enforcement and education are best understood as complementary: stakeholders described gaps in front-line awareness and uneven enforcement outcomes, while Ipsos results suggest broad public uncertainty and limited familiarity with guide dog users. Within this framing, improving access outcomes likely requires both (1) more effective, timely, and accessible redress pathways, and (2) sustained public and service-provider education designed with lived experience at the centre.</w:t>
      </w:r>
    </w:p>
    <w:p w14:paraId="2346F57C" w14:textId="77777777" w:rsidR="00D404FB" w:rsidRDefault="00D404FB" w:rsidP="009515E4">
      <w:pPr>
        <w:pStyle w:val="Heading1"/>
        <w:rPr>
          <w:lang w:eastAsia="en-CA"/>
        </w:rPr>
      </w:pPr>
      <w:bookmarkStart w:id="175" w:name="_Toc225876208"/>
      <w:bookmarkEnd w:id="166"/>
      <w:bookmarkEnd w:id="167"/>
      <w:bookmarkEnd w:id="168"/>
      <w:bookmarkEnd w:id="169"/>
      <w:bookmarkEnd w:id="170"/>
      <w:bookmarkEnd w:id="171"/>
      <w:bookmarkEnd w:id="172"/>
      <w:bookmarkEnd w:id="173"/>
      <w:bookmarkEnd w:id="174"/>
      <w:r>
        <w:t>6. Recommendations</w:t>
      </w:r>
      <w:bookmarkEnd w:id="175"/>
    </w:p>
    <w:p w14:paraId="4113992D" w14:textId="77777777" w:rsidR="00D404FB" w:rsidRDefault="00D404FB" w:rsidP="009515E4">
      <w:pPr>
        <w:rPr>
          <w:lang w:eastAsia="en-CA"/>
        </w:rPr>
      </w:pPr>
      <w:bookmarkStart w:id="176" w:name="_Toc1650723682"/>
      <w:bookmarkStart w:id="177" w:name="_Toc1542851439"/>
      <w:bookmarkStart w:id="178" w:name="_Toc1139730807"/>
      <w:bookmarkStart w:id="179" w:name="_Toc868160536"/>
      <w:bookmarkStart w:id="180" w:name="_Toc1637943130"/>
      <w:bookmarkStart w:id="181" w:name="_Toc1046663588"/>
      <w:bookmarkStart w:id="182" w:name="_Toc1253651999"/>
      <w:bookmarkStart w:id="183" w:name="_Toc1252329293"/>
      <w:bookmarkStart w:id="184" w:name="_Toc1916415266"/>
      <w:r>
        <w:t>The study produced 23 recommendations directed to multiple actors (federal, provincial/territorial, municipal, regulators, enforcement bodies, and transportation industries). The items below are a condensed, thematically organized restatement of those recommendations, preserving their substantive intent while adopting an academic summary format.</w:t>
      </w:r>
    </w:p>
    <w:p w14:paraId="189A495A" w14:textId="77777777" w:rsidR="000A336D" w:rsidRDefault="3D0B5717" w:rsidP="009515E4">
      <w:pPr>
        <w:pStyle w:val="Heading2"/>
        <w:rPr>
          <w:sz w:val="30"/>
          <w:szCs w:val="30"/>
        </w:rPr>
      </w:pPr>
      <w:bookmarkStart w:id="185" w:name="_Toc225876209"/>
      <w:r>
        <w:t>6.1 Legal recognition and documentation practices</w:t>
      </w:r>
      <w:bookmarkEnd w:id="176"/>
      <w:bookmarkEnd w:id="177"/>
      <w:bookmarkEnd w:id="178"/>
      <w:bookmarkEnd w:id="179"/>
      <w:bookmarkEnd w:id="180"/>
      <w:bookmarkEnd w:id="181"/>
      <w:bookmarkEnd w:id="182"/>
      <w:bookmarkEnd w:id="183"/>
      <w:bookmarkEnd w:id="184"/>
      <w:bookmarkEnd w:id="185"/>
    </w:p>
    <w:p w14:paraId="3CE3B9FE" w14:textId="089CBE79" w:rsidR="00D404FB" w:rsidRDefault="00CD33C4" w:rsidP="009515E4">
      <w:pPr>
        <w:rPr>
          <w:lang w:eastAsia="en-CA"/>
        </w:rPr>
      </w:pPr>
      <w:r>
        <w:rPr>
          <w:i/>
        </w:rPr>
        <w:t xml:space="preserve"> </w:t>
      </w:r>
      <w:r w:rsidR="00D404FB">
        <w:t>The evidence characterizes a cross-jurisdiction “patchwork” in recognition practices and documents stakeholder concern that handlers face increasing pressure to “prove” legitimacy through identification, alongside an emphasis on behaviour as a key legitimacy marker.</w:t>
      </w:r>
    </w:p>
    <w:p w14:paraId="64A51FDC" w14:textId="77777777" w:rsidR="00C544F1" w:rsidRDefault="00C544F1" w:rsidP="009515E4">
      <w:pPr>
        <w:rPr>
          <w:lang w:eastAsia="en-CA"/>
        </w:rPr>
      </w:pPr>
      <w:r>
        <w:rPr>
          <w:b/>
          <w:bCs/>
        </w:rPr>
        <w:t>Shift toward behaviour-centred access determination:</w:t>
      </w:r>
      <w:r>
        <w:t xml:space="preserve"> Modify provincial legislation to reduce or remove reliance on certification/identification requirements for guide dog handlers, emphasizing that access rights are framed as human rights and that working behaviour is treated as the most credible indicator of a legitimate guide dog team.</w:t>
      </w:r>
    </w:p>
    <w:p w14:paraId="17A6E339" w14:textId="77777777" w:rsidR="00EA33D5" w:rsidRDefault="00EA33D5" w:rsidP="009515E4">
      <w:pPr>
        <w:rPr>
          <w:lang w:eastAsia="en-CA"/>
        </w:rPr>
      </w:pPr>
      <w:bookmarkStart w:id="186" w:name="_Toc430144885"/>
      <w:bookmarkStart w:id="187" w:name="_Toc1321635193"/>
      <w:bookmarkStart w:id="188" w:name="_Toc1568635389"/>
      <w:bookmarkStart w:id="189" w:name="_Toc1244137182"/>
      <w:bookmarkStart w:id="190" w:name="_Toc734483877"/>
      <w:bookmarkStart w:id="191" w:name="_Toc880964635"/>
      <w:bookmarkStart w:id="192" w:name="_Toc11593354"/>
      <w:bookmarkStart w:id="193" w:name="_Toc1906262929"/>
      <w:bookmarkStart w:id="194" w:name="_Toc190320111"/>
      <w:r>
        <w:rPr>
          <w:b/>
          <w:bCs/>
        </w:rPr>
        <w:t>Equitable recognition of owner-trained teams:</w:t>
      </w:r>
      <w:r>
        <w:t xml:space="preserve"> Ensure that owner-trained guide dogs are recognized as having the same public access rights and obligations as program-trained dogs, without imposing separate certification processes that stakeholders framed as inequitable.</w:t>
      </w:r>
    </w:p>
    <w:p w14:paraId="018FD62A" w14:textId="77777777" w:rsidR="000A336D" w:rsidRDefault="3D0B5717" w:rsidP="009515E4">
      <w:pPr>
        <w:pStyle w:val="Heading2"/>
        <w:rPr>
          <w:sz w:val="30"/>
          <w:szCs w:val="30"/>
        </w:rPr>
      </w:pPr>
      <w:bookmarkStart w:id="195" w:name="_Toc225876210"/>
      <w:r>
        <w:t>6.2 Transportation systems (air travel, taxis, ride-shares, and multimodal ecosystems)</w:t>
      </w:r>
      <w:bookmarkEnd w:id="186"/>
      <w:bookmarkEnd w:id="187"/>
      <w:bookmarkEnd w:id="188"/>
      <w:bookmarkEnd w:id="189"/>
      <w:bookmarkEnd w:id="190"/>
      <w:bookmarkEnd w:id="191"/>
      <w:bookmarkEnd w:id="192"/>
      <w:bookmarkEnd w:id="193"/>
      <w:bookmarkEnd w:id="194"/>
      <w:bookmarkEnd w:id="195"/>
    </w:p>
    <w:p w14:paraId="0617C07C" w14:textId="465D01F6" w:rsidR="000A336D" w:rsidRDefault="00CD33C4" w:rsidP="009515E4">
      <w:r>
        <w:rPr>
          <w:i/>
          <w:iCs/>
        </w:rPr>
        <w:t xml:space="preserve"> </w:t>
      </w:r>
      <w:r w:rsidR="000A336D">
        <w:t>Transportation providers were identified in the survey as the most personally impactful barrier location (13.4%), and 51.1% of respondents reported having been refused access by a transportation provider while travelling with a guide dog in Canada; qualitative inputs further described repeated problems in taxi/ride-share contexts and inconsistent air travel practices.</w:t>
      </w:r>
    </w:p>
    <w:p w14:paraId="2C5CFD1D" w14:textId="77777777" w:rsidR="00D86779" w:rsidRDefault="00D86779" w:rsidP="009515E4">
      <w:pPr>
        <w:rPr>
          <w:lang w:eastAsia="en-CA"/>
        </w:rPr>
      </w:pPr>
      <w:r>
        <w:rPr>
          <w:b/>
        </w:rPr>
        <w:t>Standardize air travel documentation processes:</w:t>
      </w:r>
      <w:r>
        <w:t xml:space="preserve"> The Canadian Transportation Agency (CTA) should standardize requirements for documentation for passengers who are blind, deafblind, and partially sighted (including those travelling with guide dogs), including reducing documentation to a single form, retaining it on file (with consent) for a multi-year period, and streamlining submission (e.g., via an app and/or linkage to a frequent flyer number).</w:t>
      </w:r>
    </w:p>
    <w:p w14:paraId="16B37F73" w14:textId="77777777" w:rsidR="001031C2" w:rsidRDefault="001031C2" w:rsidP="009515E4">
      <w:pPr>
        <w:rPr>
          <w:lang w:eastAsia="en-CA"/>
        </w:rPr>
      </w:pPr>
      <w:r>
        <w:rPr>
          <w:b/>
        </w:rPr>
        <w:t>Enable information continuity across the travel chain:</w:t>
      </w:r>
      <w:r>
        <w:t xml:space="preserve"> Ensure that disability-related needs and requirements (as recorded in a booking record/locator) are available to personnel across the air travel ecosystem.</w:t>
      </w:r>
    </w:p>
    <w:p w14:paraId="3E6B7965" w14:textId="77777777" w:rsidR="00DF66DD" w:rsidRDefault="00DF66DD" w:rsidP="009515E4">
      <w:pPr>
        <w:rPr>
          <w:lang w:eastAsia="en-CA"/>
        </w:rPr>
      </w:pPr>
      <w:r>
        <w:rPr>
          <w:b/>
        </w:rPr>
        <w:t>Implement systematic training and monitoring:</w:t>
      </w:r>
      <w:r>
        <w:t xml:space="preserve"> Provide consistent training for personnel across the air travel ecosystem and institute regular audits to assess compliance with applicable regulations.</w:t>
      </w:r>
    </w:p>
    <w:p w14:paraId="01FC6F6E" w14:textId="77777777" w:rsidR="00493B3C" w:rsidRDefault="00493B3C" w:rsidP="009515E4">
      <w:pPr>
        <w:rPr>
          <w:lang w:eastAsia="en-CA"/>
        </w:rPr>
      </w:pPr>
      <w:r>
        <w:rPr>
          <w:b/>
        </w:rPr>
        <w:t>Reduce refusals in taxi and ride-share contexts:</w:t>
      </w:r>
      <w:r>
        <w:t xml:space="preserve"> Expand training for taxi and ride-share companies and drivers; introduce and enforce “zero tolerance” consequences for refusals; and develop mechanisms that allow guide dog handlers to optionally identify themselves within dispatch/app systems to reduce the likelihood of refusals framed as allergy-related.</w:t>
      </w:r>
    </w:p>
    <w:p w14:paraId="7BB77B9C" w14:textId="77777777" w:rsidR="00493B3C" w:rsidRDefault="00493B3C" w:rsidP="009515E4">
      <w:pPr>
        <w:rPr>
          <w:lang w:eastAsia="en-CA"/>
        </w:rPr>
      </w:pPr>
      <w:r>
        <w:rPr>
          <w:b/>
        </w:rPr>
        <w:t>Measure and manage platform-level performance:</w:t>
      </w:r>
      <w:r>
        <w:t xml:space="preserve"> Introduce operational metrics (e.g., refusals and cancellations, including those attributed to allergies or religion) to support accountability and targeted remediation.</w:t>
      </w:r>
    </w:p>
    <w:p w14:paraId="7FF4441B" w14:textId="77777777" w:rsidR="00493B3C" w:rsidRDefault="00493B3C" w:rsidP="009515E4">
      <w:pPr>
        <w:rPr>
          <w:lang w:eastAsia="en-CA"/>
        </w:rPr>
      </w:pPr>
      <w:bookmarkStart w:id="196" w:name="_Toc1824850674"/>
      <w:bookmarkStart w:id="197" w:name="_Toc665813038"/>
      <w:bookmarkStart w:id="198" w:name="_Toc350730626"/>
      <w:bookmarkStart w:id="199" w:name="_Toc1328822265"/>
      <w:bookmarkStart w:id="200" w:name="_Toc639681007"/>
      <w:bookmarkStart w:id="201" w:name="_Toc1135098660"/>
      <w:bookmarkStart w:id="202" w:name="_Toc991812555"/>
      <w:bookmarkStart w:id="203" w:name="_Toc1669465155"/>
      <w:bookmarkStart w:id="204" w:name="_Toc1142259991"/>
      <w:r>
        <w:rPr>
          <w:b/>
        </w:rPr>
        <w:t>Identify leadership capacity (“champions”):</w:t>
      </w:r>
      <w:r>
        <w:t xml:space="preserve"> Identify influential champions at national/provincial/local levels to support leadership and coordination on accessible transportation with explicit attention to guide dog access.</w:t>
      </w:r>
    </w:p>
    <w:p w14:paraId="570D703E" w14:textId="77777777" w:rsidR="000A336D" w:rsidRDefault="3D0B5717" w:rsidP="009515E4">
      <w:pPr>
        <w:pStyle w:val="Heading2"/>
        <w:rPr>
          <w:sz w:val="30"/>
          <w:szCs w:val="30"/>
        </w:rPr>
      </w:pPr>
      <w:bookmarkStart w:id="205" w:name="_Toc225876211"/>
      <w:r>
        <w:t>6.3 Standards development boundaries and barrier-proofing future regulation</w:t>
      </w:r>
      <w:bookmarkEnd w:id="196"/>
      <w:bookmarkEnd w:id="197"/>
      <w:bookmarkEnd w:id="198"/>
      <w:bookmarkEnd w:id="199"/>
      <w:bookmarkEnd w:id="200"/>
      <w:bookmarkEnd w:id="201"/>
      <w:bookmarkEnd w:id="202"/>
      <w:bookmarkEnd w:id="203"/>
      <w:bookmarkEnd w:id="204"/>
      <w:bookmarkEnd w:id="205"/>
    </w:p>
    <w:p w14:paraId="5E709735" w14:textId="05CECCC8" w:rsidR="00D404FB" w:rsidRDefault="00CD33C4" w:rsidP="009515E4">
      <w:pPr>
        <w:rPr>
          <w:lang w:eastAsia="en-CA"/>
        </w:rPr>
      </w:pPr>
      <w:r>
        <w:rPr>
          <w:i/>
        </w:rPr>
        <w:t xml:space="preserve"> </w:t>
      </w:r>
      <w:r w:rsidR="00D404FB">
        <w:t>Stakeholders expressed strong opposition to standards that would intrude into guide dog training/care domains (“hands off our harnesses”), while also arguing that guide dog considerations should be proactively integrated across Accessible Canada Act domains to prevent new barriers.</w:t>
      </w:r>
    </w:p>
    <w:p w14:paraId="5D8B0523" w14:textId="77777777" w:rsidR="00493B3C" w:rsidRDefault="00493B3C" w:rsidP="009515E4">
      <w:pPr>
        <w:rPr>
          <w:lang w:eastAsia="en-CA"/>
        </w:rPr>
      </w:pPr>
      <w:r>
        <w:rPr>
          <w:b/>
          <w:bCs/>
        </w:rPr>
        <w:t>Exclude guide dog training/care standards from new standard-setting exercises:</w:t>
      </w:r>
      <w:r>
        <w:t xml:space="preserve"> Standards bodies should refrain from developing standards aimed at training, care, and/or behaviour of guide dogs and handlers that have already met IGDF/ADI program standards.</w:t>
      </w:r>
    </w:p>
    <w:p w14:paraId="3D3A27A6" w14:textId="77777777" w:rsidR="00493B3C" w:rsidRDefault="00493B3C" w:rsidP="009515E4">
      <w:pPr>
        <w:rPr>
          <w:lang w:eastAsia="en-CA"/>
        </w:rPr>
      </w:pPr>
      <w:bookmarkStart w:id="206" w:name="_Toc1793145332"/>
      <w:bookmarkStart w:id="207" w:name="_Toc909382542"/>
      <w:bookmarkStart w:id="208" w:name="_Toc2085378498"/>
      <w:bookmarkStart w:id="209" w:name="_Toc1290607616"/>
      <w:bookmarkStart w:id="210" w:name="_Toc419114905"/>
      <w:bookmarkStart w:id="211" w:name="_Toc177334281"/>
      <w:bookmarkStart w:id="212" w:name="_Toc1496289080"/>
      <w:bookmarkStart w:id="213" w:name="_Toc1686306331"/>
      <w:bookmarkStart w:id="214" w:name="_Toc165926009"/>
      <w:r>
        <w:rPr>
          <w:b/>
          <w:bCs/>
        </w:rPr>
        <w:t>Apply a “guide dog lens” across Accessible Canada Act domains:</w:t>
      </w:r>
      <w:r>
        <w:t xml:space="preserve"> Integrate proactive barrier identification and mitigation for guide dog users in existing and future federal regulations, standards, and policies under the Accessible Canada Act.</w:t>
      </w:r>
    </w:p>
    <w:p w14:paraId="4BC81665" w14:textId="77777777" w:rsidR="000A336D" w:rsidRDefault="3D0B5717" w:rsidP="009515E4">
      <w:pPr>
        <w:pStyle w:val="Heading2"/>
        <w:rPr>
          <w:sz w:val="30"/>
          <w:szCs w:val="30"/>
        </w:rPr>
      </w:pPr>
      <w:bookmarkStart w:id="215" w:name="_Toc225876212"/>
      <w:r>
        <w:t>6.4 Enforcement capacity (penalties, policing knowledge, and practical recourse)</w:t>
      </w:r>
      <w:bookmarkEnd w:id="206"/>
      <w:bookmarkEnd w:id="207"/>
      <w:bookmarkEnd w:id="208"/>
      <w:bookmarkEnd w:id="209"/>
      <w:bookmarkEnd w:id="210"/>
      <w:bookmarkEnd w:id="211"/>
      <w:bookmarkEnd w:id="212"/>
      <w:bookmarkEnd w:id="213"/>
      <w:bookmarkEnd w:id="214"/>
      <w:bookmarkEnd w:id="215"/>
    </w:p>
    <w:p w14:paraId="560FF13D" w14:textId="3DC72107" w:rsidR="000A336D" w:rsidRDefault="00CD33C4" w:rsidP="009515E4">
      <w:r>
        <w:rPr>
          <w:i/>
          <w:iCs/>
        </w:rPr>
        <w:t xml:space="preserve"> </w:t>
      </w:r>
      <w:r w:rsidR="000A336D">
        <w:t>Stakeholders described enforcement as inconsistent and often ineffective, including reports that penalties and fines do not function as a deterrent and that front-line enforcement personnel may lack awareness of applicable guide dog access legislation.</w:t>
      </w:r>
    </w:p>
    <w:p w14:paraId="133E58A7" w14:textId="77777777" w:rsidR="00493B3C" w:rsidRDefault="00493B3C" w:rsidP="009515E4">
      <w:pPr>
        <w:rPr>
          <w:lang w:eastAsia="en-CA"/>
        </w:rPr>
      </w:pPr>
      <w:r>
        <w:rPr>
          <w:b/>
          <w:bCs/>
        </w:rPr>
        <w:t>Increase the deterrent effect of penalties:</w:t>
      </w:r>
      <w:r>
        <w:t xml:space="preserve"> Increase fines for access refusals in jurisdictions with specific guide dog legislation and encourage courts/tribunals to maintain meaningful penalty levels; international comparators were referenced in the discussion of penalty magnitude.</w:t>
      </w:r>
    </w:p>
    <w:p w14:paraId="58C8F7F0" w14:textId="77777777" w:rsidR="00493B3C" w:rsidRDefault="00493B3C" w:rsidP="009515E4">
      <w:pPr>
        <w:rPr>
          <w:lang w:eastAsia="en-CA"/>
        </w:rPr>
      </w:pPr>
      <w:bookmarkStart w:id="216" w:name="_Toc1916062578"/>
      <w:bookmarkStart w:id="217" w:name="_Toc1347329522"/>
      <w:bookmarkStart w:id="218" w:name="_Toc1729581760"/>
      <w:bookmarkStart w:id="219" w:name="_Toc377191758"/>
      <w:bookmarkStart w:id="220" w:name="_Toc1173919606"/>
      <w:bookmarkStart w:id="221" w:name="_Toc1035310993"/>
      <w:bookmarkStart w:id="222" w:name="_Toc12104422"/>
      <w:bookmarkStart w:id="223" w:name="_Toc923179295"/>
      <w:bookmarkStart w:id="224" w:name="_Toc805268568"/>
      <w:r>
        <w:rPr>
          <w:b/>
          <w:bCs/>
        </w:rPr>
        <w:t>Increase enforcement literacy among police:</w:t>
      </w:r>
      <w:r>
        <w:t xml:space="preserve"> Provide mandatory training for police forces responsible for enforcing guide dog rights legislation and conduct periodic evaluations of officer awareness.</w:t>
      </w:r>
    </w:p>
    <w:p w14:paraId="4558871D" w14:textId="77777777" w:rsidR="000A336D" w:rsidRDefault="3D0B5717" w:rsidP="009515E4">
      <w:pPr>
        <w:pStyle w:val="Heading2"/>
        <w:rPr>
          <w:sz w:val="30"/>
          <w:szCs w:val="30"/>
        </w:rPr>
      </w:pPr>
      <w:bookmarkStart w:id="225" w:name="_Toc225876213"/>
      <w:r>
        <w:t>6.5 Human rights and competing-rights resolution (process reform and accommodation practice)</w:t>
      </w:r>
      <w:bookmarkEnd w:id="216"/>
      <w:bookmarkEnd w:id="217"/>
      <w:bookmarkEnd w:id="218"/>
      <w:bookmarkEnd w:id="219"/>
      <w:bookmarkEnd w:id="220"/>
      <w:bookmarkEnd w:id="221"/>
      <w:bookmarkEnd w:id="222"/>
      <w:bookmarkEnd w:id="223"/>
      <w:bookmarkEnd w:id="224"/>
      <w:bookmarkEnd w:id="225"/>
    </w:p>
    <w:p w14:paraId="7586A55D" w14:textId="1FD75CBF" w:rsidR="00D404FB" w:rsidRDefault="00CD33C4" w:rsidP="009515E4">
      <w:pPr>
        <w:rPr>
          <w:lang w:eastAsia="en-CA"/>
        </w:rPr>
      </w:pPr>
      <w:r>
        <w:rPr>
          <w:i/>
        </w:rPr>
        <w:t xml:space="preserve"> </w:t>
      </w:r>
      <w:r w:rsidR="00D404FB">
        <w:t>Human rights processes are presented as a primary recourse pathway in many jurisdictions, while stakeholder feedback indicates that complaint mechanisms can be slow, inaccessible, and place an undue burden on individual handlers—particularly where visual identification evidence is expected.</w:t>
      </w:r>
    </w:p>
    <w:p w14:paraId="050A5C84" w14:textId="3B991B29" w:rsidR="000A336D" w:rsidRDefault="000A336D" w:rsidP="009515E4">
      <w:r>
        <w:rPr>
          <w:b/>
          <w:bCs/>
        </w:rPr>
        <w:t>Coordinate a pan-Canadian approach:</w:t>
      </w:r>
      <w:r>
        <w:t xml:space="preserve"> that the Canadian Human Rights Commission convene provincial/territorial bodies to develop a pan-Canadian plan to reduce barriers encountered by guide dog handlers.</w:t>
      </w:r>
    </w:p>
    <w:p w14:paraId="798BEC85" w14:textId="6F4B6CC8" w:rsidR="000A336D" w:rsidRDefault="000A336D" w:rsidP="009515E4">
      <w:r>
        <w:rPr>
          <w:b/>
          <w:bCs/>
        </w:rPr>
        <w:t>Improve the effectiveness and accessibility of complaint processes:</w:t>
      </w:r>
      <w:r>
        <w:t xml:space="preserve"> </w:t>
      </w:r>
      <w:r w:rsidR="000E1674">
        <w:t>S</w:t>
      </w:r>
      <w:r>
        <w:t>implifying and accelerating human rights complaint pathways, ensuring document accessibility, and implementing rapid response mechanisms for access denials.</w:t>
      </w:r>
    </w:p>
    <w:p w14:paraId="07FDAFD8" w14:textId="7BB3B9F3" w:rsidR="000A336D" w:rsidRDefault="000A336D" w:rsidP="009515E4">
      <w:r>
        <w:rPr>
          <w:b/>
          <w:bCs/>
        </w:rPr>
        <w:t>Reduce dependence on visual evidence:</w:t>
      </w:r>
      <w:r>
        <w:t xml:space="preserve"> </w:t>
      </w:r>
      <w:r w:rsidR="00BD74A3">
        <w:t>E</w:t>
      </w:r>
      <w:r>
        <w:t>xplor</w:t>
      </w:r>
      <w:r w:rsidR="00BD74A3">
        <w:t>e</w:t>
      </w:r>
      <w:r>
        <w:t xml:space="preserve"> changes to tribunal/hearing practices to reduce reliance on visual identification evidence (e.g., by permitting other credible forms of evidence).</w:t>
      </w:r>
    </w:p>
    <w:p w14:paraId="2A4F98F5" w14:textId="38F1991D" w:rsidR="000A336D" w:rsidRDefault="000A336D" w:rsidP="009515E4">
      <w:r>
        <w:rPr>
          <w:b/>
          <w:bCs/>
        </w:rPr>
        <w:t>Operationalize allergy accommodation:</w:t>
      </w:r>
      <w:r>
        <w:t xml:space="preserve"> In contexts such as airlines, taxi/ride-share, employers, and educational institutions, mechanisms for individuals to declare severe dog allergies, supported by medical documentation, to facilitate accommodation planning.</w:t>
      </w:r>
    </w:p>
    <w:p w14:paraId="4AABBE47" w14:textId="77777777" w:rsidR="000A336D" w:rsidRDefault="3D0B5717" w:rsidP="009515E4">
      <w:pPr>
        <w:pStyle w:val="Heading2"/>
        <w:rPr>
          <w:sz w:val="30"/>
          <w:szCs w:val="30"/>
        </w:rPr>
      </w:pPr>
      <w:bookmarkStart w:id="226" w:name="_Toc485239816"/>
      <w:bookmarkStart w:id="227" w:name="_Toc218709151"/>
      <w:bookmarkStart w:id="228" w:name="_Toc1146858845"/>
      <w:bookmarkStart w:id="229" w:name="_Toc696613271"/>
      <w:bookmarkStart w:id="230" w:name="_Toc601449581"/>
      <w:bookmarkStart w:id="231" w:name="_Toc1524849992"/>
      <w:bookmarkStart w:id="232" w:name="_Toc161524629"/>
      <w:bookmarkStart w:id="233" w:name="_Toc859768165"/>
      <w:bookmarkStart w:id="234" w:name="_Toc524989635"/>
      <w:bookmarkStart w:id="235" w:name="_Toc225876214"/>
      <w:r>
        <w:t>6.6 Public and professional education (service providers, curriculum, and national campaigns)</w:t>
      </w:r>
      <w:bookmarkEnd w:id="226"/>
      <w:bookmarkEnd w:id="227"/>
      <w:bookmarkEnd w:id="228"/>
      <w:bookmarkEnd w:id="229"/>
      <w:bookmarkEnd w:id="230"/>
      <w:bookmarkEnd w:id="231"/>
      <w:bookmarkEnd w:id="232"/>
      <w:bookmarkEnd w:id="233"/>
      <w:bookmarkEnd w:id="234"/>
      <w:bookmarkEnd w:id="235"/>
    </w:p>
    <w:p w14:paraId="106A1F22" w14:textId="60C41F8C" w:rsidR="00D404FB" w:rsidRDefault="00D404FB" w:rsidP="009515E4">
      <w:pPr>
        <w:rPr>
          <w:lang w:eastAsia="en-CA"/>
        </w:rPr>
      </w:pPr>
      <w:r>
        <w:t>The Ipsos survey findings indicate measurable public knowledge and familiarity gaps (e.g., 39% reporting low confidence in respectful interaction; 55% aware of differences between guide/service/emotional support animals; 43% never having met a guide dog user), supporting an emphasis on sustained education.</w:t>
      </w:r>
    </w:p>
    <w:p w14:paraId="51DBE84F" w14:textId="02116D2F" w:rsidR="00D404FB" w:rsidRDefault="00D404FB" w:rsidP="009515E4">
      <w:pPr>
        <w:rPr>
          <w:lang w:eastAsia="en-CA"/>
        </w:rPr>
      </w:pPr>
      <w:r>
        <w:rPr>
          <w:b/>
          <w:bCs/>
        </w:rPr>
        <w:t>Educate businesses and service providers:</w:t>
      </w:r>
      <w:r>
        <w:t xml:space="preserve"> Develop education initiatives to clarify rights and obligations regarding guide/service dogs, including how to respond appropriately when any animal’s behaviour warrants removal from a premises.</w:t>
      </w:r>
    </w:p>
    <w:p w14:paraId="5970BB3A" w14:textId="6700779A" w:rsidR="000A336D" w:rsidRDefault="000A336D" w:rsidP="009515E4">
      <w:r>
        <w:rPr>
          <w:b/>
          <w:bCs/>
        </w:rPr>
        <w:t>Fund a national public education campaign:</w:t>
      </w:r>
      <w:r>
        <w:t xml:space="preserve"> federally supported, nationally coordinated public education developed in partnership with the guide dog community and accompanied by an evaluation framework.</w:t>
      </w:r>
    </w:p>
    <w:p w14:paraId="54CB9003" w14:textId="17A40CD6" w:rsidR="000A336D" w:rsidRDefault="000A336D" w:rsidP="009515E4">
      <w:r>
        <w:rPr>
          <w:b/>
          <w:bCs/>
        </w:rPr>
        <w:t>Develop formal curriculum content:</w:t>
      </w:r>
      <w:r>
        <w:t xml:space="preserve"> develop guide dog-related curriculum content across educational levels, including relevant post-secondary professional pathway</w:t>
      </w:r>
      <w:r w:rsidR="00B84A43">
        <w:t>s</w:t>
      </w:r>
      <w:r>
        <w:t>.</w:t>
      </w:r>
    </w:p>
    <w:p w14:paraId="2060AB2B" w14:textId="77777777" w:rsidR="000A336D" w:rsidRDefault="3D0B5717" w:rsidP="009515E4">
      <w:pPr>
        <w:pStyle w:val="Heading2"/>
        <w:rPr>
          <w:sz w:val="30"/>
          <w:szCs w:val="30"/>
        </w:rPr>
      </w:pPr>
      <w:bookmarkStart w:id="236" w:name="_Toc1586001743"/>
      <w:bookmarkStart w:id="237" w:name="_Toc2089701022"/>
      <w:bookmarkStart w:id="238" w:name="_Toc1258929059"/>
      <w:bookmarkStart w:id="239" w:name="_Toc11025468"/>
      <w:bookmarkStart w:id="240" w:name="_Toc263512911"/>
      <w:bookmarkStart w:id="241" w:name="_Toc531340300"/>
      <w:bookmarkStart w:id="242" w:name="_Toc858708098"/>
      <w:bookmarkStart w:id="243" w:name="_Toc523598300"/>
      <w:bookmarkStart w:id="244" w:name="_Toc1556579899"/>
      <w:bookmarkStart w:id="245" w:name="_Toc225876215"/>
      <w:r>
        <w:t>6.7 Safety in public space (driving laws)</w:t>
      </w:r>
      <w:bookmarkEnd w:id="236"/>
      <w:bookmarkEnd w:id="237"/>
      <w:bookmarkEnd w:id="238"/>
      <w:bookmarkEnd w:id="239"/>
      <w:bookmarkEnd w:id="240"/>
      <w:bookmarkEnd w:id="241"/>
      <w:bookmarkEnd w:id="242"/>
      <w:bookmarkEnd w:id="243"/>
      <w:bookmarkEnd w:id="244"/>
      <w:bookmarkEnd w:id="245"/>
    </w:p>
    <w:p w14:paraId="19519019" w14:textId="72569997" w:rsidR="00D404FB" w:rsidRDefault="00D404FB" w:rsidP="009515E4">
      <w:pPr>
        <w:rPr>
          <w:lang w:eastAsia="en-CA"/>
        </w:rPr>
      </w:pPr>
      <w:r>
        <w:t>The jurisdictional scan identified widespread U.S. adoption of “white cane/driving laws” as a potential best practice, alongside Ipsos findings on public support for right-of-way concepts.</w:t>
      </w:r>
    </w:p>
    <w:p w14:paraId="4A8227C5" w14:textId="77777777" w:rsidR="00493B3C" w:rsidRDefault="00493B3C" w:rsidP="009515E4">
      <w:pPr>
        <w:rPr>
          <w:lang w:eastAsia="en-CA"/>
        </w:rPr>
      </w:pPr>
      <w:bookmarkStart w:id="246" w:name="_Toc2121885482"/>
      <w:bookmarkStart w:id="247" w:name="_Toc697467190"/>
      <w:bookmarkStart w:id="248" w:name="_Toc1008996810"/>
      <w:bookmarkStart w:id="249" w:name="_Toc1677196279"/>
      <w:bookmarkStart w:id="250" w:name="_Toc23876343"/>
      <w:bookmarkStart w:id="251" w:name="_Toc1106856796"/>
      <w:bookmarkStart w:id="252" w:name="_Toc1244559778"/>
      <w:bookmarkStart w:id="253" w:name="_Toc1202837160"/>
      <w:bookmarkStart w:id="254" w:name="_Toc425283301"/>
      <w:r>
        <w:t>Canadian provinces should consider implementing legislation analogous to U.S. “white cane”/driving laws to improve safety for guide dog and white cane users, and provinces should collaborate to support consistency of application.</w:t>
      </w:r>
    </w:p>
    <w:p w14:paraId="6577C2C6" w14:textId="77777777" w:rsidR="000A336D" w:rsidRDefault="3D0B5717" w:rsidP="009515E4">
      <w:pPr>
        <w:pStyle w:val="Heading2"/>
        <w:rPr>
          <w:sz w:val="30"/>
          <w:szCs w:val="30"/>
        </w:rPr>
      </w:pPr>
      <w:bookmarkStart w:id="255" w:name="_Toc225876216"/>
      <w:r>
        <w:t>6.8 Implications for research</w:t>
      </w:r>
      <w:bookmarkEnd w:id="246"/>
      <w:bookmarkEnd w:id="247"/>
      <w:bookmarkEnd w:id="248"/>
      <w:bookmarkEnd w:id="249"/>
      <w:bookmarkEnd w:id="250"/>
      <w:bookmarkEnd w:id="251"/>
      <w:bookmarkEnd w:id="252"/>
      <w:bookmarkEnd w:id="253"/>
      <w:bookmarkEnd w:id="254"/>
      <w:bookmarkEnd w:id="255"/>
    </w:p>
    <w:p w14:paraId="3E78071D" w14:textId="2C42F0CA" w:rsidR="000A336D" w:rsidRDefault="3D0B5717" w:rsidP="009515E4">
      <w:r w:rsidRPr="6A0D869D">
        <w:rPr>
          <w:b/>
          <w:bCs/>
        </w:rPr>
        <w:t>Deterrence and enforcement effectiveness:</w:t>
      </w:r>
      <w:r w:rsidRPr="6A0D869D">
        <w:t xml:space="preserve"> Evaluate whether higher penalties and different enforcement models (e.g., police/penalty versus human rights-led mechanisms) meaningfully reduce access denials in practice, given stakeholder concerns that current penal</w:t>
      </w:r>
      <w:r w:rsidR="252C6700" w:rsidRPr="6A0D869D">
        <w:t>Tu</w:t>
      </w:r>
      <w:r w:rsidRPr="6A0D869D">
        <w:t>es are not acting as deterrents.</w:t>
      </w:r>
    </w:p>
    <w:p w14:paraId="1DB5AD91" w14:textId="77777777" w:rsidR="000A336D" w:rsidRDefault="3D0B5717" w:rsidP="009515E4">
      <w:r w:rsidRPr="6A0D869D">
        <w:rPr>
          <w:b/>
          <w:bCs/>
        </w:rPr>
        <w:t>Training and implementation science:</w:t>
      </w:r>
      <w:r w:rsidRPr="6A0D869D">
        <w:t xml:space="preserve"> Assess the effectiveness of service-provider training interventions (particularly in transportation ecosystems) and identify which delivery models improve front-line knowledge and behaviour over time.</w:t>
      </w:r>
    </w:p>
    <w:p w14:paraId="059025D9" w14:textId="77777777" w:rsidR="00D404FB" w:rsidRDefault="00D404FB" w:rsidP="009515E4">
      <w:pPr>
        <w:rPr>
          <w:lang w:eastAsia="en-CA"/>
        </w:rPr>
      </w:pPr>
      <w:r>
        <w:rPr>
          <w:b/>
        </w:rPr>
        <w:t>Ride-share refusal drivers and platform mechanisms:</w:t>
      </w:r>
      <w:r>
        <w:t xml:space="preserve"> Investigate the relative contribution of allergies, religious concerns, discrimination, and knowledge gaps to cancellations/refusals, and evaluate proposed platform-level metrics and design changes.</w:t>
      </w:r>
    </w:p>
    <w:p w14:paraId="1CECD652" w14:textId="77777777" w:rsidR="000A336D" w:rsidRDefault="3D0B5717" w:rsidP="009515E4">
      <w:r w:rsidRPr="6A0D869D">
        <w:rPr>
          <w:b/>
          <w:bCs/>
        </w:rPr>
        <w:t>Competing-rights accommodation models:</w:t>
      </w:r>
      <w:r w:rsidRPr="6A0D869D">
        <w:t xml:space="preserve"> Develop and test operational approaches for balancing disability-related access needs and severe allergy-related accommodations across short-term and long-term contexts (e.g., taxis/air travel versus employment/education/housing).</w:t>
      </w:r>
    </w:p>
    <w:p w14:paraId="44E6D3B1" w14:textId="77777777" w:rsidR="000A336D" w:rsidRDefault="3D0B5717" w:rsidP="009515E4">
      <w:r w:rsidRPr="6A0D869D">
        <w:rPr>
          <w:b/>
          <w:bCs/>
        </w:rPr>
        <w:t>Measurement and monitoring:</w:t>
      </w:r>
      <w:r w:rsidRPr="6A0D869D">
        <w:t xml:space="preserve"> Develop standardized indicators (e.g., refusal/cancellation rates and recourse outcomes) that can be tracked across jurisdictions and sectors to support accountability and longitudinal assessment.</w:t>
      </w:r>
    </w:p>
    <w:p w14:paraId="66540736" w14:textId="77777777" w:rsidR="000A336D" w:rsidRDefault="3D0B5717" w:rsidP="009515E4">
      <w:pPr>
        <w:pStyle w:val="Heading2"/>
        <w:rPr>
          <w:sz w:val="30"/>
          <w:szCs w:val="30"/>
        </w:rPr>
      </w:pPr>
      <w:bookmarkStart w:id="256" w:name="_Toc845007087"/>
      <w:bookmarkStart w:id="257" w:name="_Toc1249566980"/>
      <w:bookmarkStart w:id="258" w:name="_Toc2144826665"/>
      <w:bookmarkStart w:id="259" w:name="_Toc380720570"/>
      <w:bookmarkStart w:id="260" w:name="_Toc411951641"/>
      <w:bookmarkStart w:id="261" w:name="_Toc872384165"/>
      <w:bookmarkStart w:id="262" w:name="_Toc1456118715"/>
      <w:bookmarkStart w:id="263" w:name="_Toc1397292233"/>
      <w:bookmarkStart w:id="264" w:name="_Toc626829851"/>
      <w:bookmarkStart w:id="265" w:name="_Toc225876217"/>
      <w:r>
        <w:t>6.9 Strengths</w:t>
      </w:r>
      <w:bookmarkEnd w:id="256"/>
      <w:bookmarkEnd w:id="257"/>
      <w:bookmarkEnd w:id="258"/>
      <w:bookmarkEnd w:id="259"/>
      <w:bookmarkEnd w:id="260"/>
      <w:bookmarkEnd w:id="261"/>
      <w:bookmarkEnd w:id="262"/>
      <w:bookmarkEnd w:id="263"/>
      <w:bookmarkEnd w:id="264"/>
      <w:bookmarkEnd w:id="265"/>
    </w:p>
    <w:p w14:paraId="4BD20C83" w14:textId="77777777" w:rsidR="00D404FB" w:rsidRDefault="00D404FB" w:rsidP="009515E4">
      <w:pPr>
        <w:rPr>
          <w:lang w:eastAsia="en-CA"/>
        </w:rPr>
      </w:pPr>
      <w:bookmarkStart w:id="266" w:name="_Toc1838385488"/>
      <w:bookmarkStart w:id="267" w:name="_Toc1271619533"/>
      <w:bookmarkStart w:id="268" w:name="_Toc1899149696"/>
      <w:bookmarkStart w:id="269" w:name="_Toc1298998581"/>
      <w:bookmarkStart w:id="270" w:name="_Toc2139683669"/>
      <w:bookmarkStart w:id="271" w:name="_Toc1510729004"/>
      <w:bookmarkStart w:id="272" w:name="_Toc1466984137"/>
      <w:bookmarkStart w:id="273" w:name="_Toc1755597853"/>
      <w:bookmarkStart w:id="274" w:name="_Toc1429101677"/>
      <w:r>
        <w:t>The study’s principal strengths derive from methodological triangulation across legal/policy review, stakeholder engagement (including co-design), and complementary survey evidence. The jurisdictional scan spans all Canadian provinces and territories and incorporates international comparators, enabling the analysis to situate Canadian experiences within broader patterns and divergences in recognition and enforcement models. In addition, the inclusion of a national public attitudes survey (Ipsos Reid; n=1,001) provides an independent measure of public awareness and familiarity gaps linked to implementation challenges in public and service-provider settings.</w:t>
      </w:r>
    </w:p>
    <w:p w14:paraId="2D362608" w14:textId="77777777" w:rsidR="000A336D" w:rsidRDefault="3D0B5717" w:rsidP="009515E4">
      <w:pPr>
        <w:pStyle w:val="Heading1"/>
        <w:rPr>
          <w:kern w:val="36"/>
          <w:sz w:val="32"/>
          <w:szCs w:val="32"/>
        </w:rPr>
      </w:pPr>
      <w:bookmarkStart w:id="275" w:name="_Toc225876218"/>
      <w:r>
        <w:t>7. Limitations</w:t>
      </w:r>
      <w:bookmarkEnd w:id="266"/>
      <w:bookmarkEnd w:id="267"/>
      <w:bookmarkEnd w:id="268"/>
      <w:bookmarkEnd w:id="269"/>
      <w:bookmarkEnd w:id="270"/>
      <w:bookmarkEnd w:id="271"/>
      <w:bookmarkEnd w:id="272"/>
      <w:bookmarkEnd w:id="273"/>
      <w:bookmarkEnd w:id="274"/>
      <w:bookmarkEnd w:id="275"/>
    </w:p>
    <w:p w14:paraId="6984C78D" w14:textId="77777777" w:rsidR="00D404FB" w:rsidRDefault="00D404FB" w:rsidP="009515E4">
      <w:pPr>
        <w:rPr>
          <w:lang w:eastAsia="en-CA"/>
        </w:rPr>
      </w:pPr>
      <w:r w:rsidRPr="009515E4">
        <w:t>Survey findings reflect self-reported experiences of respondents who chose to participate; results are presented descriptively (percentages and selected subgroup comparisons), rather than as population estimates.</w:t>
      </w:r>
    </w:p>
    <w:p w14:paraId="56EE7675" w14:textId="77777777" w:rsidR="000A336D" w:rsidRDefault="3D0B5717" w:rsidP="009515E4">
      <w:r w:rsidRPr="6A0D869D">
        <w:t>Several quantitative items use frequency-based response framing (e.g., “at least 3–4 times per year”) and attribution framing (e.g., “due to others’ lack of understanding”), which should be interpreted as respondent perceptions as reported.</w:t>
      </w:r>
    </w:p>
    <w:p w14:paraId="1543443E" w14:textId="77777777" w:rsidR="000A336D" w:rsidRDefault="3D0B5717" w:rsidP="009515E4">
      <w:r w:rsidRPr="6A0D869D">
        <w:t>Focus group and co-design findings reflect the perspectives of participating guide dog handlers and are intended to surface themes, mechanisms, and solution pathways rather than estimate prevalence.</w:t>
      </w:r>
    </w:p>
    <w:p w14:paraId="509DBAEA" w14:textId="77777777" w:rsidR="000A336D" w:rsidRDefault="3D0B5717" w:rsidP="009515E4">
      <w:r w:rsidRPr="6A0D869D">
        <w:t xml:space="preserve">The jurisdictional review </w:t>
      </w:r>
      <w:proofErr w:type="gramStart"/>
      <w:r w:rsidRPr="6A0D869D">
        <w:t>is described as being</w:t>
      </w:r>
      <w:proofErr w:type="gramEnd"/>
      <w:r w:rsidRPr="6A0D869D">
        <w:t xml:space="preserve"> undertaken primarily using Google searches of legislation, policies, and regulations; the report presents it as a baseline synthesis rather than an exhaustive legal analysis.</w:t>
      </w:r>
    </w:p>
    <w:p w14:paraId="6826A222" w14:textId="77777777" w:rsidR="00D404FB" w:rsidRDefault="00D404FB" w:rsidP="009515E4">
      <w:pPr>
        <w:rPr>
          <w:lang w:eastAsia="en-CA"/>
        </w:rPr>
      </w:pPr>
      <w:bookmarkStart w:id="276" w:name="_Toc1363512460"/>
      <w:bookmarkStart w:id="277" w:name="_Toc588105760"/>
      <w:bookmarkStart w:id="278" w:name="_Toc884230234"/>
      <w:bookmarkStart w:id="279" w:name="_Toc1141110387"/>
      <w:bookmarkStart w:id="280" w:name="_Toc355804596"/>
      <w:bookmarkStart w:id="281" w:name="_Toc510897497"/>
      <w:bookmarkStart w:id="282" w:name="_Toc1462322973"/>
      <w:bookmarkStart w:id="283" w:name="_Toc993595612"/>
      <w:bookmarkStart w:id="284" w:name="_Toc572986526"/>
      <w:r>
        <w:t>Some project components (e.g., the Canadian Transportation Agency key informant interview) were documented through notes rather than recordings.</w:t>
      </w:r>
    </w:p>
    <w:p w14:paraId="1ECA87DD" w14:textId="77777777" w:rsidR="000A336D" w:rsidRDefault="3D0B5717" w:rsidP="009515E4">
      <w:pPr>
        <w:pStyle w:val="Heading1"/>
        <w:rPr>
          <w:kern w:val="36"/>
          <w:sz w:val="32"/>
          <w:szCs w:val="32"/>
        </w:rPr>
      </w:pPr>
      <w:bookmarkStart w:id="285" w:name="_Toc225876219"/>
      <w:r>
        <w:t>8. Conclusion</w:t>
      </w:r>
      <w:bookmarkEnd w:id="276"/>
      <w:bookmarkEnd w:id="277"/>
      <w:bookmarkEnd w:id="278"/>
      <w:bookmarkEnd w:id="279"/>
      <w:bookmarkEnd w:id="280"/>
      <w:bookmarkEnd w:id="281"/>
      <w:bookmarkEnd w:id="282"/>
      <w:bookmarkEnd w:id="283"/>
      <w:bookmarkEnd w:id="284"/>
      <w:bookmarkEnd w:id="285"/>
    </w:p>
    <w:p w14:paraId="67A90A56" w14:textId="77777777" w:rsidR="00D404FB" w:rsidRDefault="00D404FB" w:rsidP="009515E4">
      <w:pPr>
        <w:rPr>
          <w:lang w:eastAsia="en-CA"/>
        </w:rPr>
      </w:pPr>
      <w:r>
        <w:t>This summary captures evidence that guide dog handlers in Canada continue to encounter access denials and related barriers across everyday public settings, with transportation repeatedly identified as a high-impact domain. The combined evidence base emphasizes that the persistence of denials reflects not only formal rules but also practical implementation factors, including public understanding, service-provider practices, and the effectiveness and accessibility of enforcement and complaint pathways.</w:t>
      </w:r>
    </w:p>
    <w:p w14:paraId="0AEA1EDF" w14:textId="77777777" w:rsidR="00D404FB" w:rsidRDefault="00D404FB" w:rsidP="009515E4">
      <w:pPr>
        <w:rPr>
          <w:lang w:eastAsia="en-CA"/>
        </w:rPr>
      </w:pPr>
      <w:bookmarkStart w:id="286" w:name="_Toc1012072468"/>
      <w:bookmarkStart w:id="287" w:name="_Toc1430102603"/>
      <w:bookmarkStart w:id="288" w:name="_Toc1328449998"/>
      <w:bookmarkStart w:id="289" w:name="_Toc811354861"/>
      <w:bookmarkStart w:id="290" w:name="_Toc1426955956"/>
      <w:bookmarkStart w:id="291" w:name="_Toc1505330694"/>
      <w:bookmarkStart w:id="292" w:name="_Toc388954347"/>
      <w:bookmarkStart w:id="293" w:name="_Toc693733550"/>
      <w:bookmarkStart w:id="294" w:name="_Toc132819002"/>
      <w:r>
        <w:t>Across the survey and qualitative evidence summarized here, barriers are described as ongoing and frequently recent, and stakeholders emphasize a recurring “legitimacy burden” placed on handlers in contested public interactions. In this context, an unresolved tension remains between documentation-based and behaviour-based approaches to identifying working guide dog teams, alongside a broader set of systems-level levers for improvement—training, operational clarity, accountability, and accessible recourse. Finally, the Ipsos results indicate that public awareness and familiarity gaps remain substantial, reinforcing an emphasis on sustained public education with national reach.</w:t>
      </w:r>
    </w:p>
    <w:p w14:paraId="719AD8DE" w14:textId="77777777" w:rsidR="000A336D" w:rsidRDefault="3D0B5717" w:rsidP="009515E4">
      <w:pPr>
        <w:pStyle w:val="Heading1"/>
        <w:rPr>
          <w:kern w:val="36"/>
          <w:sz w:val="32"/>
          <w:szCs w:val="32"/>
        </w:rPr>
      </w:pPr>
      <w:bookmarkStart w:id="295" w:name="_Toc225876220"/>
      <w:r>
        <w:t>9. References</w:t>
      </w:r>
      <w:bookmarkEnd w:id="286"/>
      <w:bookmarkEnd w:id="287"/>
      <w:bookmarkEnd w:id="288"/>
      <w:bookmarkEnd w:id="289"/>
      <w:bookmarkEnd w:id="290"/>
      <w:bookmarkEnd w:id="291"/>
      <w:bookmarkEnd w:id="292"/>
      <w:bookmarkEnd w:id="293"/>
      <w:bookmarkEnd w:id="294"/>
      <w:bookmarkEnd w:id="295"/>
    </w:p>
    <w:p w14:paraId="0FE4C400" w14:textId="77777777" w:rsidR="00CD33C4" w:rsidRDefault="00CD33C4" w:rsidP="009515E4">
      <w:pPr>
        <w:pStyle w:val="APAReference"/>
      </w:pPr>
      <w:r>
        <w:t>Accessible Canada Act, S.C. 2019, c. 10.</w:t>
      </w:r>
    </w:p>
    <w:p w14:paraId="563FF509" w14:textId="77777777" w:rsidR="00CD33C4" w:rsidRDefault="00CD33C4" w:rsidP="009515E4">
      <w:pPr>
        <w:pStyle w:val="APAReference"/>
      </w:pPr>
      <w:r>
        <w:t>Accessible Transportation for Persons with Disabilities Regulations, SOR/2019-244.</w:t>
      </w:r>
    </w:p>
    <w:p w14:paraId="6EA84D95" w14:textId="77777777" w:rsidR="00CD33C4" w:rsidRDefault="00CD33C4" w:rsidP="009515E4">
      <w:pPr>
        <w:pStyle w:val="APAReference"/>
      </w:pPr>
      <w:r>
        <w:t>Americans with Disabilities Act of 1990, 42 U.S.C. § 12101 et seq.</w:t>
      </w:r>
    </w:p>
    <w:p w14:paraId="49B53BDF" w14:textId="77777777" w:rsidR="00CD33C4" w:rsidRDefault="00CD33C4" w:rsidP="009515E4">
      <w:pPr>
        <w:pStyle w:val="APAReference"/>
      </w:pPr>
      <w:r>
        <w:t xml:space="preserve">Assistance Dogs International. (n.d.). </w:t>
      </w:r>
      <w:r>
        <w:rPr>
          <w:i/>
          <w:iCs/>
        </w:rPr>
        <w:t>Standards</w:t>
      </w:r>
      <w:r>
        <w:t>. Author.</w:t>
      </w:r>
    </w:p>
    <w:p w14:paraId="0CA064D5" w14:textId="77777777" w:rsidR="00CD33C4" w:rsidRDefault="00CD33C4" w:rsidP="009515E4">
      <w:pPr>
        <w:pStyle w:val="APAReference"/>
        <w:rPr>
          <w:rFonts w:eastAsia="Segoe UI"/>
          <w:lang w:val="en-GB"/>
        </w:rPr>
      </w:pPr>
      <w:r w:rsidRPr="6A0D869D">
        <w:rPr>
          <w:rFonts w:eastAsia="Segoe UI"/>
          <w:lang w:val="en-GB"/>
        </w:rPr>
        <w:t xml:space="preserve">CNIB Research Team. (2023, March 31). </w:t>
      </w:r>
      <w:r w:rsidRPr="6A0D869D">
        <w:rPr>
          <w:rFonts w:eastAsia="Segoe UI"/>
          <w:i/>
          <w:iCs/>
          <w:lang w:val="en-GB"/>
        </w:rPr>
        <w:t>Guide dog access barriers in Canada</w:t>
      </w:r>
      <w:r w:rsidRPr="6A0D869D">
        <w:rPr>
          <w:rFonts w:eastAsia="Segoe UI"/>
          <w:lang w:val="en-GB"/>
        </w:rPr>
        <w:t>. Accessibility Standards Canada.</w:t>
      </w:r>
    </w:p>
    <w:p w14:paraId="0048FACD" w14:textId="77777777" w:rsidR="00CD33C4" w:rsidRDefault="00CD33C4" w:rsidP="009515E4">
      <w:pPr>
        <w:pStyle w:val="APAReference"/>
      </w:pPr>
      <w:r>
        <w:t xml:space="preserve">European Committee for Standardization. (n.d.). </w:t>
      </w:r>
      <w:r w:rsidRPr="6A0D869D">
        <w:rPr>
          <w:i/>
          <w:iCs/>
        </w:rPr>
        <w:t>CEN/TC 452—Assistance dogs</w:t>
      </w:r>
      <w:r>
        <w:t xml:space="preserve"> [Technical committee].</w:t>
      </w:r>
    </w:p>
    <w:p w14:paraId="0ACA3F87" w14:textId="77777777" w:rsidR="00CD33C4" w:rsidRDefault="00CD33C4" w:rsidP="009515E4">
      <w:pPr>
        <w:pStyle w:val="APAReference"/>
      </w:pPr>
      <w:r>
        <w:t xml:space="preserve">International Guide Dog Federation. (n.d.). </w:t>
      </w:r>
      <w:r>
        <w:rPr>
          <w:i/>
          <w:iCs/>
        </w:rPr>
        <w:t>Standards</w:t>
      </w:r>
      <w:r>
        <w:t>. Author.</w:t>
      </w:r>
    </w:p>
    <w:p w14:paraId="251ED9E8" w14:textId="492C449A" w:rsidR="6A0D869D" w:rsidRDefault="6A0D869D" w:rsidP="009515E4">
      <w:pPr>
        <w:rPr>
          <w:rFonts w:eastAsia="Segoe UI"/>
          <w:lang w:val="en-GB"/>
        </w:rPr>
      </w:pPr>
    </w:p>
    <w:p w14:paraId="0CBD3E77" w14:textId="77777777" w:rsidR="007415AD" w:rsidRPr="000A336D" w:rsidRDefault="007415AD" w:rsidP="009515E4"/>
    <w:sectPr w:rsidR="007415AD" w:rsidRPr="000A336D">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5F0E8" w14:textId="77777777" w:rsidR="00E37CB1" w:rsidRDefault="00E37CB1" w:rsidP="009515E4">
      <w:r>
        <w:separator/>
      </w:r>
    </w:p>
  </w:endnote>
  <w:endnote w:type="continuationSeparator" w:id="0">
    <w:p w14:paraId="6A3AFC10" w14:textId="77777777" w:rsidR="00E37CB1" w:rsidRDefault="00E37CB1" w:rsidP="0095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Stag Sans Book">
    <w:altName w:val="Calibri"/>
    <w:charset w:val="00"/>
    <w:family w:val="swiss"/>
    <w:pitch w:val="variable"/>
    <w:sig w:usb0="00000087" w:usb1="00000000" w:usb2="00000000" w:usb3="00000000" w:csb0="0000009B"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5FEA" w14:textId="7ED22757" w:rsidR="00C56F41" w:rsidRPr="002C345D" w:rsidRDefault="002C345D" w:rsidP="009515E4">
    <w:pPr>
      <w:pStyle w:val="Footer"/>
    </w:pPr>
    <w:r>
      <w:rPr>
        <w:noProof/>
      </w:rPr>
      <w:drawing>
        <wp:inline distT="0" distB="0" distL="0" distR="0" wp14:anchorId="5F3C3328" wp14:editId="5202FE3A">
          <wp:extent cx="5943600" cy="603885"/>
          <wp:effectExtent l="0" t="0" r="0" b="5715"/>
          <wp:docPr id="701887513" name="Picture 1" descr="Unilingual,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ingual, optio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038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A50FE" w14:textId="77777777" w:rsidR="00E37CB1" w:rsidRDefault="00E37CB1" w:rsidP="009515E4">
      <w:r>
        <w:separator/>
      </w:r>
    </w:p>
  </w:footnote>
  <w:footnote w:type="continuationSeparator" w:id="0">
    <w:p w14:paraId="3B06A755" w14:textId="77777777" w:rsidR="00E37CB1" w:rsidRDefault="00E37CB1" w:rsidP="00951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5433" w14:textId="363ADB74" w:rsidR="00C56F41" w:rsidRDefault="00C56F41" w:rsidP="009515E4">
    <w:pPr>
      <w:pStyle w:val="Header"/>
    </w:pPr>
    <w:r>
      <w:rPr>
        <w:b/>
        <w:noProof/>
      </w:rPr>
      <w:drawing>
        <wp:inline distT="0" distB="0" distL="0" distR="0" wp14:anchorId="449745D5" wp14:editId="7A5ED76A">
          <wp:extent cx="1284514" cy="673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
                    <a:extLst>
                      <a:ext uri="{28A0092B-C50C-407E-A947-70E740481C1C}">
                        <a14:useLocalDpi xmlns:a14="http://schemas.microsoft.com/office/drawing/2010/main" val="0"/>
                      </a:ext>
                    </a:extLst>
                  </a:blip>
                  <a:stretch>
                    <a:fillRect/>
                  </a:stretch>
                </pic:blipFill>
                <pic:spPr>
                  <a:xfrm>
                    <a:off x="0" y="0"/>
                    <a:ext cx="1343457" cy="704599"/>
                  </a:xfrm>
                  <a:prstGeom prst="rect">
                    <a:avLst/>
                  </a:prstGeom>
                </pic:spPr>
              </pic:pic>
            </a:graphicData>
          </a:graphic>
        </wp:inline>
      </w:drawing>
    </w:r>
    <w:r w:rsidR="006539BA" w:rsidRPr="00CE0CAB">
      <w:rPr>
        <w:noProof/>
      </w:rPr>
      <w:drawing>
        <wp:inline distT="0" distB="0" distL="0" distR="0" wp14:anchorId="0B01C271" wp14:editId="01ED9EE3">
          <wp:extent cx="3902651" cy="678485"/>
          <wp:effectExtent l="0" t="0" r="3175" b="0"/>
          <wp:docPr id="1997299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16341" name="Picture 972816341"/>
                  <pic:cNvPicPr/>
                </pic:nvPicPr>
                <pic:blipFill>
                  <a:blip r:embed="rId2">
                    <a:extLst>
                      <a:ext uri="{28A0092B-C50C-407E-A947-70E740481C1C}">
                        <a14:useLocalDpi xmlns:a14="http://schemas.microsoft.com/office/drawing/2010/main" val="0"/>
                      </a:ext>
                    </a:extLst>
                  </a:blip>
                  <a:stretch>
                    <a:fillRect/>
                  </a:stretch>
                </pic:blipFill>
                <pic:spPr>
                  <a:xfrm>
                    <a:off x="0" y="0"/>
                    <a:ext cx="3915254" cy="6806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3DB"/>
    <w:multiLevelType w:val="multilevel"/>
    <w:tmpl w:val="C170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77905"/>
    <w:multiLevelType w:val="multilevel"/>
    <w:tmpl w:val="1FD0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B5DAE"/>
    <w:multiLevelType w:val="multilevel"/>
    <w:tmpl w:val="2E24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B435D"/>
    <w:multiLevelType w:val="multilevel"/>
    <w:tmpl w:val="FBF0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577D2"/>
    <w:multiLevelType w:val="multilevel"/>
    <w:tmpl w:val="1508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314D4"/>
    <w:multiLevelType w:val="multilevel"/>
    <w:tmpl w:val="8D52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C72FBC"/>
    <w:multiLevelType w:val="multilevel"/>
    <w:tmpl w:val="1A1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B3641"/>
    <w:multiLevelType w:val="multilevel"/>
    <w:tmpl w:val="1BAC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66091"/>
    <w:multiLevelType w:val="multilevel"/>
    <w:tmpl w:val="E828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22591"/>
    <w:multiLevelType w:val="multilevel"/>
    <w:tmpl w:val="685AB0B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23F1F"/>
    <w:multiLevelType w:val="multilevel"/>
    <w:tmpl w:val="7E1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E606F"/>
    <w:multiLevelType w:val="multilevel"/>
    <w:tmpl w:val="8934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E51058"/>
    <w:multiLevelType w:val="multilevel"/>
    <w:tmpl w:val="8276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B1F42"/>
    <w:multiLevelType w:val="multilevel"/>
    <w:tmpl w:val="B5CA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56841"/>
    <w:multiLevelType w:val="multilevel"/>
    <w:tmpl w:val="AF16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F30BC"/>
    <w:multiLevelType w:val="multilevel"/>
    <w:tmpl w:val="A84E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A01635"/>
    <w:multiLevelType w:val="multilevel"/>
    <w:tmpl w:val="2C0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A25197"/>
    <w:multiLevelType w:val="multilevel"/>
    <w:tmpl w:val="89D4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38714D"/>
    <w:multiLevelType w:val="multilevel"/>
    <w:tmpl w:val="D93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E5423"/>
    <w:multiLevelType w:val="multilevel"/>
    <w:tmpl w:val="1260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04225F"/>
    <w:multiLevelType w:val="multilevel"/>
    <w:tmpl w:val="89AC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1E7C85"/>
    <w:multiLevelType w:val="multilevel"/>
    <w:tmpl w:val="7574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026142"/>
    <w:multiLevelType w:val="multilevel"/>
    <w:tmpl w:val="E31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850843"/>
    <w:multiLevelType w:val="multilevel"/>
    <w:tmpl w:val="5C44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47FE3"/>
    <w:multiLevelType w:val="multilevel"/>
    <w:tmpl w:val="FB7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847662"/>
    <w:multiLevelType w:val="multilevel"/>
    <w:tmpl w:val="DBD6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7A559F"/>
    <w:multiLevelType w:val="multilevel"/>
    <w:tmpl w:val="0D7E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C35261"/>
    <w:multiLevelType w:val="multilevel"/>
    <w:tmpl w:val="2B3A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D2FD4"/>
    <w:multiLevelType w:val="multilevel"/>
    <w:tmpl w:val="2E00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9383">
    <w:abstractNumId w:val="26"/>
  </w:num>
  <w:num w:numId="2" w16cid:durableId="1826241945">
    <w:abstractNumId w:val="15"/>
  </w:num>
  <w:num w:numId="3" w16cid:durableId="495651766">
    <w:abstractNumId w:val="4"/>
  </w:num>
  <w:num w:numId="4" w16cid:durableId="1106004469">
    <w:abstractNumId w:val="9"/>
  </w:num>
  <w:num w:numId="5" w16cid:durableId="1774284122">
    <w:abstractNumId w:val="16"/>
  </w:num>
  <w:num w:numId="6" w16cid:durableId="1179002212">
    <w:abstractNumId w:val="2"/>
  </w:num>
  <w:num w:numId="7" w16cid:durableId="2141412686">
    <w:abstractNumId w:val="11"/>
  </w:num>
  <w:num w:numId="8" w16cid:durableId="804662235">
    <w:abstractNumId w:val="5"/>
  </w:num>
  <w:num w:numId="9" w16cid:durableId="1719356471">
    <w:abstractNumId w:val="0"/>
  </w:num>
  <w:num w:numId="10" w16cid:durableId="516432628">
    <w:abstractNumId w:val="25"/>
  </w:num>
  <w:num w:numId="11" w16cid:durableId="178666977">
    <w:abstractNumId w:val="8"/>
  </w:num>
  <w:num w:numId="12" w16cid:durableId="1583953175">
    <w:abstractNumId w:val="20"/>
  </w:num>
  <w:num w:numId="13" w16cid:durableId="828252460">
    <w:abstractNumId w:val="17"/>
  </w:num>
  <w:num w:numId="14" w16cid:durableId="1449816525">
    <w:abstractNumId w:val="6"/>
  </w:num>
  <w:num w:numId="15" w16cid:durableId="1817841038">
    <w:abstractNumId w:val="12"/>
  </w:num>
  <w:num w:numId="16" w16cid:durableId="272517584">
    <w:abstractNumId w:val="24"/>
  </w:num>
  <w:num w:numId="17" w16cid:durableId="1773823201">
    <w:abstractNumId w:val="1"/>
  </w:num>
  <w:num w:numId="18" w16cid:durableId="538512584">
    <w:abstractNumId w:val="7"/>
  </w:num>
  <w:num w:numId="19" w16cid:durableId="218442827">
    <w:abstractNumId w:val="10"/>
  </w:num>
  <w:num w:numId="20" w16cid:durableId="2078749056">
    <w:abstractNumId w:val="18"/>
  </w:num>
  <w:num w:numId="21" w16cid:durableId="1139423122">
    <w:abstractNumId w:val="19"/>
  </w:num>
  <w:num w:numId="22" w16cid:durableId="274364347">
    <w:abstractNumId w:val="23"/>
  </w:num>
  <w:num w:numId="23" w16cid:durableId="1192454761">
    <w:abstractNumId w:val="13"/>
  </w:num>
  <w:num w:numId="24" w16cid:durableId="637149509">
    <w:abstractNumId w:val="14"/>
  </w:num>
  <w:num w:numId="25" w16cid:durableId="254292564">
    <w:abstractNumId w:val="22"/>
  </w:num>
  <w:num w:numId="26" w16cid:durableId="79765842">
    <w:abstractNumId w:val="28"/>
  </w:num>
  <w:num w:numId="27" w16cid:durableId="559903110">
    <w:abstractNumId w:val="3"/>
  </w:num>
  <w:num w:numId="28" w16cid:durableId="1913613272">
    <w:abstractNumId w:val="21"/>
  </w:num>
  <w:num w:numId="29" w16cid:durableId="4213383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36"/>
    <w:rsid w:val="00043F00"/>
    <w:rsid w:val="000541A3"/>
    <w:rsid w:val="00056F61"/>
    <w:rsid w:val="000673B5"/>
    <w:rsid w:val="00085764"/>
    <w:rsid w:val="00086E53"/>
    <w:rsid w:val="000A336D"/>
    <w:rsid w:val="000C0333"/>
    <w:rsid w:val="000E0E4F"/>
    <w:rsid w:val="000E1674"/>
    <w:rsid w:val="000E33A1"/>
    <w:rsid w:val="000E60B6"/>
    <w:rsid w:val="001031C2"/>
    <w:rsid w:val="00103FD4"/>
    <w:rsid w:val="001054A2"/>
    <w:rsid w:val="001113DB"/>
    <w:rsid w:val="00140F7C"/>
    <w:rsid w:val="001542BD"/>
    <w:rsid w:val="0018262A"/>
    <w:rsid w:val="0018515B"/>
    <w:rsid w:val="001A0B10"/>
    <w:rsid w:val="001A7E3A"/>
    <w:rsid w:val="001C628A"/>
    <w:rsid w:val="001E57EE"/>
    <w:rsid w:val="001F0108"/>
    <w:rsid w:val="001F3490"/>
    <w:rsid w:val="00203F07"/>
    <w:rsid w:val="002104A2"/>
    <w:rsid w:val="002515FF"/>
    <w:rsid w:val="0025719C"/>
    <w:rsid w:val="00261580"/>
    <w:rsid w:val="0026408D"/>
    <w:rsid w:val="00264EEA"/>
    <w:rsid w:val="002820E3"/>
    <w:rsid w:val="0029225C"/>
    <w:rsid w:val="00296DAD"/>
    <w:rsid w:val="002A58DB"/>
    <w:rsid w:val="002A7D9C"/>
    <w:rsid w:val="002B1B83"/>
    <w:rsid w:val="002B7E7D"/>
    <w:rsid w:val="002C345D"/>
    <w:rsid w:val="002C3644"/>
    <w:rsid w:val="002E401D"/>
    <w:rsid w:val="002E4876"/>
    <w:rsid w:val="00302288"/>
    <w:rsid w:val="0030677B"/>
    <w:rsid w:val="00322291"/>
    <w:rsid w:val="003739C9"/>
    <w:rsid w:val="0038183E"/>
    <w:rsid w:val="00393C0E"/>
    <w:rsid w:val="0039713E"/>
    <w:rsid w:val="003B0C12"/>
    <w:rsid w:val="003B18FF"/>
    <w:rsid w:val="003E6B79"/>
    <w:rsid w:val="0040381B"/>
    <w:rsid w:val="00403B8D"/>
    <w:rsid w:val="004040D6"/>
    <w:rsid w:val="00420556"/>
    <w:rsid w:val="00424349"/>
    <w:rsid w:val="00471812"/>
    <w:rsid w:val="004848D6"/>
    <w:rsid w:val="00490A4D"/>
    <w:rsid w:val="00493B3C"/>
    <w:rsid w:val="004A6CB2"/>
    <w:rsid w:val="004B013B"/>
    <w:rsid w:val="004C3DC2"/>
    <w:rsid w:val="004E1957"/>
    <w:rsid w:val="004E5574"/>
    <w:rsid w:val="004E6259"/>
    <w:rsid w:val="00501F06"/>
    <w:rsid w:val="005045CC"/>
    <w:rsid w:val="00505F03"/>
    <w:rsid w:val="00507C1B"/>
    <w:rsid w:val="00517FEA"/>
    <w:rsid w:val="00521A2E"/>
    <w:rsid w:val="0054142D"/>
    <w:rsid w:val="00541BB6"/>
    <w:rsid w:val="00554464"/>
    <w:rsid w:val="005603D7"/>
    <w:rsid w:val="00562711"/>
    <w:rsid w:val="00563C27"/>
    <w:rsid w:val="005774FC"/>
    <w:rsid w:val="00581CCD"/>
    <w:rsid w:val="0058309C"/>
    <w:rsid w:val="005B3F7C"/>
    <w:rsid w:val="005D7D74"/>
    <w:rsid w:val="005E16D0"/>
    <w:rsid w:val="005E2636"/>
    <w:rsid w:val="006066BD"/>
    <w:rsid w:val="00607812"/>
    <w:rsid w:val="006150D9"/>
    <w:rsid w:val="00627C0D"/>
    <w:rsid w:val="0063458C"/>
    <w:rsid w:val="006441F0"/>
    <w:rsid w:val="0065033F"/>
    <w:rsid w:val="006539BA"/>
    <w:rsid w:val="00654BF9"/>
    <w:rsid w:val="0066688F"/>
    <w:rsid w:val="00675A08"/>
    <w:rsid w:val="00682F4D"/>
    <w:rsid w:val="006941B7"/>
    <w:rsid w:val="006A2C9C"/>
    <w:rsid w:val="006C228D"/>
    <w:rsid w:val="006C2C18"/>
    <w:rsid w:val="007415AD"/>
    <w:rsid w:val="00746570"/>
    <w:rsid w:val="00754F60"/>
    <w:rsid w:val="00763F7B"/>
    <w:rsid w:val="007777B0"/>
    <w:rsid w:val="007A338E"/>
    <w:rsid w:val="007C3640"/>
    <w:rsid w:val="007F2A51"/>
    <w:rsid w:val="0080540A"/>
    <w:rsid w:val="00840D6C"/>
    <w:rsid w:val="00845918"/>
    <w:rsid w:val="00886431"/>
    <w:rsid w:val="008956F2"/>
    <w:rsid w:val="008B2E14"/>
    <w:rsid w:val="00900FD5"/>
    <w:rsid w:val="00913826"/>
    <w:rsid w:val="00914518"/>
    <w:rsid w:val="009452AD"/>
    <w:rsid w:val="0094718D"/>
    <w:rsid w:val="00947D57"/>
    <w:rsid w:val="009515E4"/>
    <w:rsid w:val="009530A6"/>
    <w:rsid w:val="00961C2B"/>
    <w:rsid w:val="00961D88"/>
    <w:rsid w:val="00961E36"/>
    <w:rsid w:val="0099688E"/>
    <w:rsid w:val="009B264E"/>
    <w:rsid w:val="009E1757"/>
    <w:rsid w:val="009F64F7"/>
    <w:rsid w:val="009F768F"/>
    <w:rsid w:val="00A2320B"/>
    <w:rsid w:val="00A30AE8"/>
    <w:rsid w:val="00A37735"/>
    <w:rsid w:val="00A40FD4"/>
    <w:rsid w:val="00A55A5B"/>
    <w:rsid w:val="00A770D2"/>
    <w:rsid w:val="00A96E30"/>
    <w:rsid w:val="00AA17B1"/>
    <w:rsid w:val="00AB0A6A"/>
    <w:rsid w:val="00AC00F3"/>
    <w:rsid w:val="00AC5F09"/>
    <w:rsid w:val="00AC7F1F"/>
    <w:rsid w:val="00AE1D5C"/>
    <w:rsid w:val="00B16297"/>
    <w:rsid w:val="00B312E7"/>
    <w:rsid w:val="00B62454"/>
    <w:rsid w:val="00B753BC"/>
    <w:rsid w:val="00B82D40"/>
    <w:rsid w:val="00B84A43"/>
    <w:rsid w:val="00B85952"/>
    <w:rsid w:val="00B91482"/>
    <w:rsid w:val="00B97619"/>
    <w:rsid w:val="00BA19BA"/>
    <w:rsid w:val="00BA6A65"/>
    <w:rsid w:val="00BC336C"/>
    <w:rsid w:val="00BD4543"/>
    <w:rsid w:val="00BD74A3"/>
    <w:rsid w:val="00BE3A22"/>
    <w:rsid w:val="00BF2473"/>
    <w:rsid w:val="00C15F7E"/>
    <w:rsid w:val="00C16859"/>
    <w:rsid w:val="00C544F1"/>
    <w:rsid w:val="00C56F41"/>
    <w:rsid w:val="00C73205"/>
    <w:rsid w:val="00CB6FC7"/>
    <w:rsid w:val="00CC32BC"/>
    <w:rsid w:val="00CD33C4"/>
    <w:rsid w:val="00CD66B1"/>
    <w:rsid w:val="00CF79B7"/>
    <w:rsid w:val="00D404FB"/>
    <w:rsid w:val="00D7729A"/>
    <w:rsid w:val="00D86779"/>
    <w:rsid w:val="00DA2EF9"/>
    <w:rsid w:val="00DB01FD"/>
    <w:rsid w:val="00DC74C3"/>
    <w:rsid w:val="00DF1EEE"/>
    <w:rsid w:val="00DF4013"/>
    <w:rsid w:val="00DF66DD"/>
    <w:rsid w:val="00E04B98"/>
    <w:rsid w:val="00E3106E"/>
    <w:rsid w:val="00E37CB1"/>
    <w:rsid w:val="00E81F32"/>
    <w:rsid w:val="00E91BBD"/>
    <w:rsid w:val="00E931EC"/>
    <w:rsid w:val="00EA33D5"/>
    <w:rsid w:val="00F12FF2"/>
    <w:rsid w:val="00F2175F"/>
    <w:rsid w:val="00F427C3"/>
    <w:rsid w:val="00F4762C"/>
    <w:rsid w:val="00F55377"/>
    <w:rsid w:val="00F62ECB"/>
    <w:rsid w:val="00F90B22"/>
    <w:rsid w:val="00FC18CD"/>
    <w:rsid w:val="03D39A51"/>
    <w:rsid w:val="04B27912"/>
    <w:rsid w:val="064D5116"/>
    <w:rsid w:val="0CD27FC2"/>
    <w:rsid w:val="0CD8EC59"/>
    <w:rsid w:val="116D8630"/>
    <w:rsid w:val="134C0019"/>
    <w:rsid w:val="14B4A87E"/>
    <w:rsid w:val="17D9211D"/>
    <w:rsid w:val="1ACAD533"/>
    <w:rsid w:val="1C01C868"/>
    <w:rsid w:val="1EDBAE3C"/>
    <w:rsid w:val="2381C765"/>
    <w:rsid w:val="251FA212"/>
    <w:rsid w:val="252C6700"/>
    <w:rsid w:val="28075E90"/>
    <w:rsid w:val="280C6F2A"/>
    <w:rsid w:val="281F0D73"/>
    <w:rsid w:val="28DB888F"/>
    <w:rsid w:val="2ACF5303"/>
    <w:rsid w:val="2C932C60"/>
    <w:rsid w:val="2E1CCA3B"/>
    <w:rsid w:val="2E29B517"/>
    <w:rsid w:val="2E77B648"/>
    <w:rsid w:val="3834D4AA"/>
    <w:rsid w:val="3965EA28"/>
    <w:rsid w:val="3C1CFC54"/>
    <w:rsid w:val="3D0B5717"/>
    <w:rsid w:val="3DCAEBC3"/>
    <w:rsid w:val="3F902357"/>
    <w:rsid w:val="41194F7B"/>
    <w:rsid w:val="43E8AE9C"/>
    <w:rsid w:val="43F633F1"/>
    <w:rsid w:val="44C1EDAC"/>
    <w:rsid w:val="452ACB83"/>
    <w:rsid w:val="45405D66"/>
    <w:rsid w:val="46B7E539"/>
    <w:rsid w:val="4A38F5CD"/>
    <w:rsid w:val="4B0BD846"/>
    <w:rsid w:val="4DD1E3ED"/>
    <w:rsid w:val="54E8468B"/>
    <w:rsid w:val="57616BAE"/>
    <w:rsid w:val="60D20999"/>
    <w:rsid w:val="65370CC6"/>
    <w:rsid w:val="6A0D869D"/>
    <w:rsid w:val="6B144779"/>
    <w:rsid w:val="6DF0368E"/>
    <w:rsid w:val="6E7D8B19"/>
    <w:rsid w:val="6FF0F1BE"/>
    <w:rsid w:val="74B998A8"/>
    <w:rsid w:val="75334FD4"/>
    <w:rsid w:val="784BF6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EE60B"/>
  <w15:chartTrackingRefBased/>
  <w15:docId w15:val="{ACE11909-6A6B-4B8E-BE0E-6A6FB91C1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E4"/>
    <w:pPr>
      <w:spacing w:line="480" w:lineRule="auto"/>
      <w:ind w:firstLine="540"/>
    </w:pPr>
    <w:rPr>
      <w:rFonts w:eastAsia="Times New Roman" w:cs="Times New Roman"/>
      <w:sz w:val="28"/>
      <w:szCs w:val="28"/>
    </w:rPr>
  </w:style>
  <w:style w:type="paragraph" w:styleId="Heading1">
    <w:name w:val="heading 1"/>
    <w:basedOn w:val="Normal"/>
    <w:next w:val="Normal"/>
    <w:link w:val="Heading1Char"/>
    <w:uiPriority w:val="9"/>
    <w:qFormat/>
    <w:rsid w:val="00D7729A"/>
    <w:pPr>
      <w:keepNext/>
      <w:keepLines/>
      <w:spacing w:before="1080" w:after="24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unhideWhenUsed/>
    <w:qFormat/>
    <w:rsid w:val="00AB0A6A"/>
    <w:pPr>
      <w:keepNext/>
      <w:keepLines/>
      <w:spacing w:before="160" w:after="80"/>
      <w:ind w:firstLine="0"/>
      <w:outlineLvl w:val="1"/>
    </w:pPr>
    <w:rPr>
      <w:rFonts w:asciiTheme="majorHAnsi" w:eastAsiaTheme="majorEastAsia" w:hAnsiTheme="majorHAnsi" w:cstheme="majorBidi"/>
      <w:b/>
      <w:i/>
      <w:sz w:val="32"/>
      <w:szCs w:val="32"/>
    </w:rPr>
  </w:style>
  <w:style w:type="paragraph" w:styleId="Heading3">
    <w:name w:val="heading 3"/>
    <w:basedOn w:val="Normal"/>
    <w:next w:val="Normal"/>
    <w:link w:val="Heading3Char"/>
    <w:uiPriority w:val="9"/>
    <w:semiHidden/>
    <w:unhideWhenUsed/>
    <w:qFormat/>
    <w:rsid w:val="005E2636"/>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semiHidden/>
    <w:unhideWhenUsed/>
    <w:qFormat/>
    <w:rsid w:val="005E26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6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6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6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6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6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29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sid w:val="00AB0A6A"/>
    <w:rPr>
      <w:rFonts w:asciiTheme="majorHAnsi" w:eastAsiaTheme="majorEastAsia" w:hAnsiTheme="majorHAnsi" w:cstheme="majorBidi"/>
      <w:b/>
      <w:i/>
      <w:sz w:val="32"/>
      <w:szCs w:val="32"/>
    </w:rPr>
  </w:style>
  <w:style w:type="character" w:customStyle="1" w:styleId="Heading3Char">
    <w:name w:val="Heading 3 Char"/>
    <w:basedOn w:val="DefaultParagraphFont"/>
    <w:link w:val="Heading3"/>
    <w:uiPriority w:val="9"/>
    <w:semiHidden/>
    <w:rsid w:val="005E26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6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6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6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6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6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636"/>
    <w:rPr>
      <w:rFonts w:eastAsiaTheme="majorEastAsia" w:cstheme="majorBidi"/>
      <w:color w:val="272727" w:themeColor="text1" w:themeTint="D8"/>
    </w:rPr>
  </w:style>
  <w:style w:type="paragraph" w:styleId="Title">
    <w:name w:val="Title"/>
    <w:basedOn w:val="Normal"/>
    <w:next w:val="Normal"/>
    <w:link w:val="TitleChar"/>
    <w:uiPriority w:val="10"/>
    <w:qFormat/>
    <w:rsid w:val="005E26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6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636"/>
    <w:pPr>
      <w:numPr>
        <w:ilvl w:val="1"/>
      </w:numPr>
      <w:ind w:firstLine="540"/>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5E26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636"/>
    <w:pPr>
      <w:spacing w:before="160"/>
      <w:jc w:val="center"/>
    </w:pPr>
    <w:rPr>
      <w:i/>
      <w:iCs/>
      <w:color w:val="404040" w:themeColor="text1" w:themeTint="BF"/>
    </w:rPr>
  </w:style>
  <w:style w:type="character" w:customStyle="1" w:styleId="QuoteChar">
    <w:name w:val="Quote Char"/>
    <w:basedOn w:val="DefaultParagraphFont"/>
    <w:link w:val="Quote"/>
    <w:uiPriority w:val="29"/>
    <w:rsid w:val="005E2636"/>
    <w:rPr>
      <w:i/>
      <w:iCs/>
      <w:color w:val="404040" w:themeColor="text1" w:themeTint="BF"/>
    </w:rPr>
  </w:style>
  <w:style w:type="paragraph" w:styleId="ListParagraph">
    <w:name w:val="List Paragraph"/>
    <w:basedOn w:val="Normal"/>
    <w:uiPriority w:val="34"/>
    <w:qFormat/>
    <w:rsid w:val="005E2636"/>
    <w:pPr>
      <w:ind w:left="720"/>
      <w:contextualSpacing/>
    </w:pPr>
  </w:style>
  <w:style w:type="character" w:styleId="IntenseEmphasis">
    <w:name w:val="Intense Emphasis"/>
    <w:basedOn w:val="DefaultParagraphFont"/>
    <w:uiPriority w:val="21"/>
    <w:qFormat/>
    <w:rsid w:val="005E2636"/>
    <w:rPr>
      <w:i/>
      <w:iCs/>
      <w:color w:val="0F4761" w:themeColor="accent1" w:themeShade="BF"/>
    </w:rPr>
  </w:style>
  <w:style w:type="paragraph" w:styleId="IntenseQuote">
    <w:name w:val="Intense Quote"/>
    <w:basedOn w:val="Normal"/>
    <w:next w:val="Normal"/>
    <w:link w:val="IntenseQuoteChar"/>
    <w:uiPriority w:val="30"/>
    <w:qFormat/>
    <w:rsid w:val="005E26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636"/>
    <w:rPr>
      <w:i/>
      <w:iCs/>
      <w:color w:val="0F4761" w:themeColor="accent1" w:themeShade="BF"/>
    </w:rPr>
  </w:style>
  <w:style w:type="character" w:styleId="IntenseReference">
    <w:name w:val="Intense Reference"/>
    <w:basedOn w:val="DefaultParagraphFont"/>
    <w:uiPriority w:val="32"/>
    <w:qFormat/>
    <w:rsid w:val="005E2636"/>
    <w:rPr>
      <w:b/>
      <w:bCs/>
      <w:smallCaps/>
      <w:color w:val="0F4761" w:themeColor="accent1" w:themeShade="BF"/>
      <w:spacing w:val="5"/>
    </w:rPr>
  </w:style>
  <w:style w:type="paragraph" w:styleId="NormalWeb">
    <w:name w:val="Normal (Web)"/>
    <w:basedOn w:val="Normal"/>
    <w:uiPriority w:val="99"/>
    <w:semiHidden/>
    <w:unhideWhenUsed/>
    <w:rsid w:val="007777B0"/>
    <w:pPr>
      <w:spacing w:before="100" w:beforeAutospacing="1" w:after="100" w:afterAutospacing="1" w:line="240" w:lineRule="auto"/>
    </w:pPr>
    <w:rPr>
      <w:rFonts w:ascii="Times New Roman" w:hAnsi="Times New Roman"/>
      <w:sz w:val="24"/>
      <w:szCs w:val="24"/>
      <w:lang w:eastAsia="en-CA"/>
    </w:rPr>
  </w:style>
  <w:style w:type="character" w:styleId="Hyperlink">
    <w:name w:val="Hyperlink"/>
    <w:basedOn w:val="DefaultParagraphFont"/>
    <w:uiPriority w:val="99"/>
    <w:unhideWhenUsed/>
    <w:rsid w:val="6A0D869D"/>
    <w:rPr>
      <w:color w:val="467886"/>
      <w:u w:val="single"/>
    </w:rPr>
  </w:style>
  <w:style w:type="paragraph" w:styleId="TOC1">
    <w:name w:val="toc 1"/>
    <w:basedOn w:val="Normal"/>
    <w:next w:val="Normal"/>
    <w:uiPriority w:val="39"/>
    <w:unhideWhenUsed/>
    <w:rsid w:val="6A0D869D"/>
    <w:pPr>
      <w:spacing w:after="100"/>
    </w:pPr>
  </w:style>
  <w:style w:type="paragraph" w:styleId="TOC2">
    <w:name w:val="toc 2"/>
    <w:basedOn w:val="Normal"/>
    <w:next w:val="Normal"/>
    <w:uiPriority w:val="39"/>
    <w:unhideWhenUsed/>
    <w:rsid w:val="6A0D869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56F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F41"/>
  </w:style>
  <w:style w:type="paragraph" w:styleId="Footer">
    <w:name w:val="footer"/>
    <w:basedOn w:val="Normal"/>
    <w:link w:val="FooterChar"/>
    <w:uiPriority w:val="99"/>
    <w:unhideWhenUsed/>
    <w:rsid w:val="00C56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F41"/>
  </w:style>
  <w:style w:type="paragraph" w:styleId="Caption">
    <w:name w:val="caption"/>
    <w:basedOn w:val="Normal"/>
    <w:next w:val="Normal"/>
    <w:autoRedefine/>
    <w:uiPriority w:val="35"/>
    <w:unhideWhenUsed/>
    <w:qFormat/>
    <w:rsid w:val="003B0C12"/>
    <w:pPr>
      <w:spacing w:after="200" w:line="240" w:lineRule="auto"/>
    </w:pPr>
    <w:rPr>
      <w:b/>
      <w:i/>
      <w:iCs/>
      <w:sz w:val="24"/>
      <w:szCs w:val="18"/>
    </w:rPr>
  </w:style>
  <w:style w:type="paragraph" w:styleId="TableofFigures">
    <w:name w:val="table of figures"/>
    <w:basedOn w:val="Normal"/>
    <w:next w:val="Normal"/>
    <w:autoRedefine/>
    <w:uiPriority w:val="99"/>
    <w:unhideWhenUsed/>
    <w:rsid w:val="0040381B"/>
    <w:pPr>
      <w:spacing w:after="0"/>
      <w:ind w:left="720" w:hanging="720"/>
    </w:pPr>
    <w:rPr>
      <w:b/>
    </w:rPr>
  </w:style>
  <w:style w:type="paragraph" w:customStyle="1" w:styleId="APAReference">
    <w:name w:val="APA Reference"/>
    <w:basedOn w:val="Normal"/>
    <w:link w:val="APAReferenceChar"/>
    <w:autoRedefine/>
    <w:qFormat/>
    <w:rsid w:val="00CD33C4"/>
    <w:pPr>
      <w:ind w:left="720" w:hanging="720"/>
    </w:pPr>
  </w:style>
  <w:style w:type="character" w:customStyle="1" w:styleId="APAReferenceChar">
    <w:name w:val="APA Reference Char"/>
    <w:basedOn w:val="DefaultParagraphFont"/>
    <w:link w:val="APAReference"/>
    <w:rsid w:val="00CD33C4"/>
    <w:rPr>
      <w:rFonts w:eastAsia="Times New Roman" w:cs="Times New Roman"/>
      <w:sz w:val="28"/>
      <w:szCs w:val="28"/>
    </w:rPr>
  </w:style>
  <w:style w:type="paragraph" w:styleId="NoSpacing">
    <w:name w:val="No Spacing"/>
    <w:uiPriority w:val="1"/>
    <w:qFormat/>
    <w:rsid w:val="006066BD"/>
    <w:pPr>
      <w:spacing w:after="0" w:line="240" w:lineRule="auto"/>
      <w:ind w:firstLine="540"/>
    </w:pPr>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F55C9-5457-4D57-9385-64B2C619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7283</Words>
  <Characters>41519</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Knot</dc:creator>
  <cp:keywords/>
  <dc:description/>
  <cp:lastModifiedBy>Kathy Beitz</cp:lastModifiedBy>
  <cp:revision>5</cp:revision>
  <dcterms:created xsi:type="dcterms:W3CDTF">2026-04-01T02:45:00Z</dcterms:created>
  <dcterms:modified xsi:type="dcterms:W3CDTF">2026-03-31T23:56:00Z</dcterms:modified>
</cp:coreProperties>
</file>