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803F" w14:textId="38EB7A12" w:rsidR="00A54F80" w:rsidRPr="00703295" w:rsidRDefault="00943787" w:rsidP="00703295">
      <w:pPr>
        <w:pStyle w:val="Heading1"/>
      </w:pPr>
      <w:r w:rsidRPr="00703295">
        <w:t>Accessible, Inclusive</w:t>
      </w:r>
      <w:permStart w:id="1508069790" w:edGrp="everyone"/>
      <w:permEnd w:id="1508069790"/>
      <w:r w:rsidRPr="00703295">
        <w:t>, Responsible Research Standard for Disability Centered Research in Canada: Executive Summary</w:t>
      </w:r>
    </w:p>
    <w:p w14:paraId="429D64BE" w14:textId="77777777" w:rsidR="00AD5ADC" w:rsidRDefault="00AD5ADC" w:rsidP="00AD5ADC">
      <w:pPr>
        <w:pStyle w:val="Heading2"/>
        <w:rPr>
          <w:lang w:eastAsia="en-CA"/>
        </w:rPr>
      </w:pPr>
      <w:r>
        <w:t>In one minute</w:t>
      </w:r>
    </w:p>
    <w:p w14:paraId="78552A4C" w14:textId="77777777" w:rsidR="00CA3F3E" w:rsidRDefault="00CA3F3E">
      <w:pPr>
        <w:rPr>
          <w:lang w:eastAsia="en-CA"/>
        </w:rPr>
      </w:pPr>
      <w:bookmarkStart w:id="0" w:name="_Toc704533905"/>
      <w:bookmarkStart w:id="1" w:name="_Toc225162911"/>
      <w:r>
        <w:t xml:space="preserve">A study should be easy to join and easy to understand. People should not struggle with forms, websites, or rushed consent. The fixes are clear. Use plain language. Share information in formats that support </w:t>
      </w:r>
      <w:r>
        <w:rPr>
          <w:b/>
          <w:bCs/>
        </w:rPr>
        <w:t>barrier-free access</w:t>
      </w:r>
      <w:r>
        <w:t>. Offer more than one way to consent and take part. Protect privacy. Use simple ways to pay people. Share results in formats people can use. Co-design with lived experience helps teams find problems early. It also builds trust.</w:t>
      </w:r>
    </w:p>
    <w:p w14:paraId="4E1C5B72" w14:textId="77777777" w:rsidR="001C397F" w:rsidRDefault="001C397F" w:rsidP="001C397F">
      <w:pPr>
        <w:pStyle w:val="Heading2"/>
        <w:rPr>
          <w:kern w:val="0"/>
          <w14:ligatures w14:val="none"/>
        </w:rPr>
      </w:pPr>
      <w:r>
        <w:t>Keywords</w:t>
      </w:r>
    </w:p>
    <w:bookmarkEnd w:id="0"/>
    <w:bookmarkEnd w:id="1"/>
    <w:p w14:paraId="12A69262" w14:textId="77777777" w:rsidR="00CA3F3E" w:rsidRDefault="00CA3F3E">
      <w:pPr>
        <w:rPr>
          <w:lang w:eastAsia="en-CA"/>
        </w:rPr>
      </w:pPr>
      <w:r>
        <w:t>Barrier-free access; disability inclusion; REB; consent; privacy; communication access; document formats; surveys; payment; plain language; co-design; overlapping barriers</w:t>
      </w:r>
    </w:p>
    <w:p w14:paraId="63F1BF14" w14:textId="00857E30" w:rsidR="00943787" w:rsidRPr="00B35A39" w:rsidRDefault="00943787" w:rsidP="000767AD">
      <w:pPr>
        <w:pStyle w:val="Heading2"/>
        <w:rPr>
          <w:sz w:val="36"/>
          <w:szCs w:val="36"/>
          <w:highlight w:val="lightGray"/>
        </w:rPr>
      </w:pPr>
      <w:r w:rsidRPr="002D4FE0">
        <w:t>What is accessible, inclusive, responsible research</w:t>
      </w:r>
    </w:p>
    <w:p w14:paraId="26CAE743" w14:textId="77777777" w:rsidR="00633C7C" w:rsidRDefault="00633C7C">
      <w:pPr>
        <w:rPr>
          <w:lang w:eastAsia="en-CA"/>
        </w:rPr>
      </w:pPr>
      <w:r>
        <w:t xml:space="preserve">A </w:t>
      </w:r>
      <w:r>
        <w:rPr>
          <w:b/>
          <w:bCs/>
        </w:rPr>
        <w:t>research study</w:t>
      </w:r>
      <w:r>
        <w:t xml:space="preserve"> is a planned way to learn something. Researchers may ask questions or ask people to do activities. The people who run the study are called </w:t>
      </w:r>
      <w:r>
        <w:rPr>
          <w:b/>
          <w:bCs/>
        </w:rPr>
        <w:t>researchers</w:t>
      </w:r>
      <w:r>
        <w:t xml:space="preserve">. Accessible and inclusive research means people can join the study. They can understand what will happen. They can also choose freely. </w:t>
      </w:r>
      <w:r>
        <w:rPr>
          <w:b/>
          <w:bCs/>
        </w:rPr>
        <w:t>Barrier-free access</w:t>
      </w:r>
      <w:r>
        <w:t xml:space="preserve"> is not an add-on. It should be part of the study from the </w:t>
      </w:r>
      <w:proofErr w:type="gramStart"/>
      <w:r>
        <w:t>start.⁷</w:t>
      </w:r>
      <w:proofErr w:type="gramEnd"/>
    </w:p>
    <w:p w14:paraId="40C4C9A0" w14:textId="2908EA15" w:rsidR="00DF70AF" w:rsidRDefault="009D46B6" w:rsidP="009D46B6">
      <w:pPr>
        <w:ind w:firstLine="0"/>
        <w:rPr>
          <w:lang w:eastAsia="en-CA"/>
        </w:rPr>
      </w:pPr>
      <w:r>
        <w:t xml:space="preserve">Inclusive and </w:t>
      </w:r>
      <w:r w:rsidR="00DF70AF">
        <w:t>responsible</w:t>
      </w:r>
      <w:r>
        <w:t xml:space="preserve"> </w:t>
      </w:r>
      <w:r w:rsidR="00F11F93">
        <w:t>studies</w:t>
      </w:r>
      <w:r w:rsidR="00DF70AF">
        <w:t>:</w:t>
      </w:r>
    </w:p>
    <w:p w14:paraId="507A61CE" w14:textId="77777777" w:rsidR="00A73180" w:rsidRDefault="00A73180" w:rsidP="00A73180">
      <w:pPr>
        <w:pStyle w:val="ListParagraph"/>
        <w:numPr>
          <w:ilvl w:val="0"/>
          <w:numId w:val="28"/>
        </w:numPr>
        <w:contextualSpacing w:val="0"/>
        <w:rPr>
          <w:lang w:eastAsia="en-CA"/>
        </w:rPr>
      </w:pPr>
      <w:r>
        <w:t xml:space="preserve">Uses </w:t>
      </w:r>
      <w:r>
        <w:rPr>
          <w:b/>
          <w:bCs/>
        </w:rPr>
        <w:t>plain language</w:t>
      </w:r>
      <w:r>
        <w:t>.</w:t>
      </w:r>
    </w:p>
    <w:p w14:paraId="32DFBE93" w14:textId="77777777" w:rsidR="009E33F8" w:rsidRDefault="009E33F8" w:rsidP="009E33F8">
      <w:pPr>
        <w:pStyle w:val="ListParagraph"/>
        <w:numPr>
          <w:ilvl w:val="0"/>
          <w:numId w:val="28"/>
        </w:numPr>
        <w:contextualSpacing w:val="0"/>
        <w:rPr>
          <w:lang w:eastAsia="en-CA"/>
        </w:rPr>
      </w:pPr>
      <w:r>
        <w:t xml:space="preserve">Uses </w:t>
      </w:r>
      <w:r>
        <w:rPr>
          <w:b/>
          <w:bCs/>
        </w:rPr>
        <w:t>barrier-free</w:t>
      </w:r>
      <w:r>
        <w:t xml:space="preserve"> formats.</w:t>
      </w:r>
    </w:p>
    <w:p w14:paraId="50BCFCAD" w14:textId="77777777" w:rsidR="0067290B" w:rsidRDefault="0067290B" w:rsidP="0067290B">
      <w:pPr>
        <w:pStyle w:val="ListParagraph"/>
        <w:numPr>
          <w:ilvl w:val="0"/>
          <w:numId w:val="28"/>
        </w:numPr>
        <w:contextualSpacing w:val="0"/>
        <w:rPr>
          <w:lang w:eastAsia="en-CA"/>
        </w:rPr>
      </w:pPr>
      <w:r>
        <w:t xml:space="preserve">Protects </w:t>
      </w:r>
      <w:r>
        <w:rPr>
          <w:b/>
          <w:bCs/>
        </w:rPr>
        <w:t>privacy</w:t>
      </w:r>
      <w:r>
        <w:t xml:space="preserve"> and helps people make an informed decision.</w:t>
      </w:r>
    </w:p>
    <w:p w14:paraId="078D351F" w14:textId="77777777" w:rsidR="00633C7C" w:rsidRDefault="00633C7C" w:rsidP="00633C7C">
      <w:pPr>
        <w:pStyle w:val="ListParagraph"/>
        <w:numPr>
          <w:ilvl w:val="0"/>
          <w:numId w:val="28"/>
        </w:numPr>
        <w:contextualSpacing w:val="0"/>
        <w:rPr>
          <w:lang w:eastAsia="en-CA"/>
        </w:rPr>
      </w:pPr>
      <w:r>
        <w:t>Offers more than one way to take part and give consent.</w:t>
      </w:r>
    </w:p>
    <w:p w14:paraId="0A201E94" w14:textId="20B34E47" w:rsidR="009F675F" w:rsidRDefault="00F11F93" w:rsidP="009F675F">
      <w:pPr>
        <w:pStyle w:val="ListParagraph"/>
        <w:numPr>
          <w:ilvl w:val="0"/>
          <w:numId w:val="28"/>
        </w:numPr>
        <w:contextualSpacing w:val="0"/>
        <w:rPr>
          <w:lang w:eastAsia="en-CA"/>
        </w:rPr>
      </w:pPr>
      <w:r>
        <w:t xml:space="preserve">Promote </w:t>
      </w:r>
      <w:r w:rsidR="009F675F">
        <w:rPr>
          <w:b/>
          <w:bCs/>
        </w:rPr>
        <w:t>choice and control</w:t>
      </w:r>
      <w:r w:rsidR="009F675F">
        <w:t xml:space="preserve"> for participants</w:t>
      </w:r>
      <w:r>
        <w:t>.</w:t>
      </w:r>
    </w:p>
    <w:p w14:paraId="65F0A2C7" w14:textId="77777777" w:rsidR="00633C7C" w:rsidRDefault="00633C7C">
      <w:pPr>
        <w:rPr>
          <w:lang w:eastAsia="en-CA"/>
        </w:rPr>
      </w:pPr>
      <w:r>
        <w:t xml:space="preserve">Inclusive research means sharing power. It treats lived experience as expertise. </w:t>
      </w:r>
      <w:r>
        <w:rPr>
          <w:b/>
          <w:bCs/>
        </w:rPr>
        <w:t>Co-design</w:t>
      </w:r>
      <w:r>
        <w:t xml:space="preserve"> means people with lived experience help shape the study from the start. They help set the question, choose the methods, and review the materials. Co-design is not only feedback at the end. Studies also need to plan for </w:t>
      </w:r>
      <w:r>
        <w:rPr>
          <w:b/>
          <w:bCs/>
        </w:rPr>
        <w:t>overlapping barriers</w:t>
      </w:r>
      <w:r>
        <w:t>. For example, disability can combine with racism, poverty, gender, or language.</w:t>
      </w:r>
    </w:p>
    <w:p w14:paraId="561BB3D2" w14:textId="496D75D0" w:rsidR="007108EE" w:rsidRDefault="007108EE">
      <w:pPr>
        <w:pStyle w:val="Heading2"/>
        <w:rPr>
          <w:lang w:eastAsia="en-CA"/>
        </w:rPr>
      </w:pPr>
      <w:r>
        <w:t>Before you join a study.  You should:</w:t>
      </w:r>
    </w:p>
    <w:p w14:paraId="0FF01AD8" w14:textId="77777777" w:rsidR="00DF70AF" w:rsidRPr="001B3E02" w:rsidRDefault="00DF70AF" w:rsidP="00DF70AF">
      <w:pPr>
        <w:numPr>
          <w:ilvl w:val="0"/>
          <w:numId w:val="17"/>
        </w:numPr>
        <w:spacing w:beforeAutospacing="1" w:after="0" w:afterAutospacing="1"/>
        <w:rPr>
          <w:lang w:eastAsia="en-CA"/>
        </w:rPr>
      </w:pPr>
      <w:r w:rsidRPr="001B3E02">
        <w:t>Understand what the study is about (in plain language).</w:t>
      </w:r>
    </w:p>
    <w:p w14:paraId="09428659" w14:textId="77777777" w:rsidR="00DF70AF" w:rsidRPr="001B3E02" w:rsidRDefault="00DF70AF" w:rsidP="00DF70AF">
      <w:pPr>
        <w:numPr>
          <w:ilvl w:val="0"/>
          <w:numId w:val="17"/>
        </w:numPr>
        <w:spacing w:beforeAutospacing="1" w:after="0" w:afterAutospacing="1"/>
      </w:pPr>
      <w:r w:rsidRPr="001B3E02">
        <w:t>Decide freely, without pressure or rushing.</w:t>
      </w:r>
    </w:p>
    <w:p w14:paraId="5828A872" w14:textId="4B72FA27" w:rsidR="00DF70AF" w:rsidRPr="001B3E02" w:rsidRDefault="00DF70AF" w:rsidP="00DF70AF">
      <w:pPr>
        <w:numPr>
          <w:ilvl w:val="0"/>
          <w:numId w:val="17"/>
        </w:numPr>
        <w:spacing w:beforeAutospacing="1" w:after="0" w:afterAutospacing="1"/>
      </w:pPr>
      <w:r w:rsidRPr="001B3E02">
        <w:t>Review consent and privacy information in advance</w:t>
      </w:r>
      <w:r w:rsidR="005560B1" w:rsidRPr="001B3E02">
        <w:t xml:space="preserve"> that is easy to use for you.</w:t>
      </w:r>
    </w:p>
    <w:p w14:paraId="28338E31" w14:textId="1E30DF7B" w:rsidR="009F675F" w:rsidRPr="001B3E02" w:rsidRDefault="009F675F" w:rsidP="009F675F">
      <w:pPr>
        <w:numPr>
          <w:ilvl w:val="0"/>
          <w:numId w:val="17"/>
        </w:numPr>
        <w:rPr>
          <w:lang w:eastAsia="en-CA"/>
        </w:rPr>
      </w:pPr>
      <w:r w:rsidRPr="001B3E02">
        <w:t>Give consent in more than one way.</w:t>
      </w:r>
    </w:p>
    <w:p w14:paraId="005C8EC1" w14:textId="77777777" w:rsidR="009E33F8" w:rsidRPr="001B3E02" w:rsidRDefault="009E33F8" w:rsidP="009E33F8">
      <w:pPr>
        <w:numPr>
          <w:ilvl w:val="0"/>
          <w:numId w:val="17"/>
        </w:numPr>
        <w:rPr>
          <w:lang w:eastAsia="en-CA"/>
        </w:rPr>
      </w:pPr>
      <w:r w:rsidRPr="001B3E02">
        <w:t>Use study materials with assistive tools, like a screen reader.</w:t>
      </w:r>
    </w:p>
    <w:p w14:paraId="26CED2E2" w14:textId="77777777" w:rsidR="009F675F" w:rsidRPr="001B3E02" w:rsidRDefault="009F675F" w:rsidP="009F675F">
      <w:pPr>
        <w:numPr>
          <w:ilvl w:val="0"/>
          <w:numId w:val="17"/>
        </w:numPr>
        <w:rPr>
          <w:lang w:eastAsia="en-CA"/>
        </w:rPr>
      </w:pPr>
      <w:r w:rsidRPr="001B3E02">
        <w:t>Take part without extra steps or repeated questions about disability.</w:t>
      </w:r>
    </w:p>
    <w:p w14:paraId="13679243" w14:textId="33F81D11" w:rsidR="0067290B" w:rsidRPr="001B3E02" w:rsidRDefault="00450F03" w:rsidP="0067290B">
      <w:pPr>
        <w:numPr>
          <w:ilvl w:val="0"/>
          <w:numId w:val="17"/>
        </w:numPr>
        <w:rPr>
          <w:lang w:eastAsia="en-CA"/>
        </w:rPr>
      </w:pPr>
      <w:r w:rsidRPr="001B3E02">
        <w:t>have</w:t>
      </w:r>
      <w:r w:rsidR="0067290B" w:rsidRPr="001B3E02">
        <w:t xml:space="preserve"> costs paid back</w:t>
      </w:r>
      <w:r w:rsidR="009948C1" w:rsidRPr="001B3E02">
        <w:t xml:space="preserve"> to you</w:t>
      </w:r>
      <w:r w:rsidR="0067290B" w:rsidRPr="001B3E02">
        <w:t>.</w:t>
      </w:r>
    </w:p>
    <w:p w14:paraId="5E24F24A" w14:textId="6F792F5E" w:rsidR="00633C7C" w:rsidRPr="001B3E02" w:rsidRDefault="009948C1" w:rsidP="00633C7C">
      <w:pPr>
        <w:numPr>
          <w:ilvl w:val="0"/>
          <w:numId w:val="17"/>
        </w:numPr>
        <w:rPr>
          <w:lang w:eastAsia="en-CA"/>
        </w:rPr>
      </w:pPr>
      <w:r w:rsidRPr="001B3E02">
        <w:t xml:space="preserve">Get </w:t>
      </w:r>
      <w:r w:rsidR="00633C7C" w:rsidRPr="001B3E02">
        <w:t xml:space="preserve">results back </w:t>
      </w:r>
      <w:r w:rsidR="00786A8D" w:rsidRPr="001B3E02">
        <w:t xml:space="preserve">that is </w:t>
      </w:r>
      <w:r w:rsidR="00633C7C" w:rsidRPr="001B3E02">
        <w:rPr>
          <w:b/>
          <w:bCs/>
        </w:rPr>
        <w:t>barrier-free</w:t>
      </w:r>
      <w:r w:rsidR="00786A8D" w:rsidRPr="001B3E02">
        <w:rPr>
          <w:b/>
          <w:bCs/>
        </w:rPr>
        <w:t xml:space="preserve"> and easy to use</w:t>
      </w:r>
      <w:r w:rsidR="00633C7C" w:rsidRPr="001B3E02">
        <w:t>.</w:t>
      </w:r>
    </w:p>
    <w:p w14:paraId="3FACF0E0" w14:textId="77777777" w:rsidR="00BD2816" w:rsidRDefault="00BD2816">
      <w:pPr>
        <w:rPr>
          <w:lang w:eastAsia="en-CA"/>
        </w:rPr>
      </w:pPr>
      <w:r>
        <w:t>The section “Minimum practice standard for participant access” below shows what research teams and REBs should do to make these expectations real.</w:t>
      </w:r>
    </w:p>
    <w:p w14:paraId="5B1A216F" w14:textId="1F4F24C9" w:rsidR="00943787" w:rsidRDefault="00502A2B" w:rsidP="002D4FE0">
      <w:pPr>
        <w:pStyle w:val="Heading2"/>
        <w:rPr>
          <w:kern w:val="0"/>
          <w14:ligatures w14:val="none"/>
        </w:rPr>
      </w:pPr>
      <w:r>
        <w:t>B</w:t>
      </w:r>
      <w:r w:rsidR="00943787">
        <w:t xml:space="preserve">arriers and </w:t>
      </w:r>
      <w:r>
        <w:t>Supports found</w:t>
      </w:r>
    </w:p>
    <w:p w14:paraId="40E5D1AE" w14:textId="77777777" w:rsidR="009E33F8" w:rsidRDefault="009E33F8">
      <w:pPr>
        <w:rPr>
          <w:lang w:eastAsia="en-CA"/>
        </w:rPr>
      </w:pPr>
      <w:r>
        <w:t xml:space="preserve">Barriers can start before a participant meets the research team. Some participants described consent problems. For example, they could not check details, they felt rushed, or they had to share information out </w:t>
      </w:r>
      <w:proofErr w:type="gramStart"/>
      <w:r>
        <w:t>loud.⁹</w:t>
      </w:r>
      <w:proofErr w:type="gramEnd"/>
      <w:r>
        <w:t xml:space="preserve"> Barriers can also start in the online ethics systems that researchers must use. These include Research Ethics Board (REB) websites and portals (online pages). If these systems are hard to use, teams may miss steps that support </w:t>
      </w:r>
      <w:r>
        <w:rPr>
          <w:b/>
          <w:bCs/>
        </w:rPr>
        <w:t>barrier-free access</w:t>
      </w:r>
      <w:r>
        <w:t xml:space="preserve">. A review of Canadian university and college REB websites and portals found very low </w:t>
      </w:r>
      <w:r>
        <w:rPr>
          <w:b/>
          <w:bCs/>
        </w:rPr>
        <w:t>barrier-free access</w:t>
      </w:r>
      <w:r>
        <w:t xml:space="preserve">. The average score was </w:t>
      </w:r>
      <w:r>
        <w:rPr>
          <w:b/>
          <w:bCs/>
        </w:rPr>
        <w:t>12.8 out of 63</w:t>
      </w:r>
      <w:r>
        <w:t xml:space="preserve"> (about </w:t>
      </w:r>
      <w:r>
        <w:rPr>
          <w:b/>
          <w:bCs/>
        </w:rPr>
        <w:t>20%</w:t>
      </w:r>
      <w:r>
        <w:t xml:space="preserve">; range 2–24). Only </w:t>
      </w:r>
      <w:r>
        <w:rPr>
          <w:b/>
          <w:bCs/>
        </w:rPr>
        <w:t>3 of 28</w:t>
      </w:r>
      <w:r>
        <w:t xml:space="preserve"> sites gave researchers a clear place to ask for </w:t>
      </w:r>
      <w:r>
        <w:rPr>
          <w:b/>
          <w:bCs/>
        </w:rPr>
        <w:t>supports</w:t>
      </w:r>
      <w:r>
        <w:t>.</w:t>
      </w:r>
    </w:p>
    <w:p w14:paraId="4FDB55C3" w14:textId="0A4F989D" w:rsidR="00DF70AF" w:rsidRDefault="00DF70AF">
      <w:pPr>
        <w:rPr>
          <w:lang w:eastAsia="en-CA"/>
        </w:rPr>
      </w:pPr>
      <w:r>
        <w:t xml:space="preserve">Key </w:t>
      </w:r>
      <w:r w:rsidR="00502A2B">
        <w:t xml:space="preserve">supports </w:t>
      </w:r>
      <w:r>
        <w:t>for participants include:</w:t>
      </w:r>
    </w:p>
    <w:p w14:paraId="2CCCA870" w14:textId="04D450B4" w:rsidR="00DF70AF" w:rsidRPr="001B3E02" w:rsidRDefault="00DF70AF" w:rsidP="00DF70AF">
      <w:pPr>
        <w:numPr>
          <w:ilvl w:val="0"/>
          <w:numId w:val="18"/>
        </w:numPr>
        <w:spacing w:beforeAutospacing="1" w:after="0" w:afterAutospacing="1"/>
        <w:rPr>
          <w:lang w:eastAsia="en-CA"/>
        </w:rPr>
      </w:pPr>
      <w:r w:rsidRPr="001B3E02">
        <w:t xml:space="preserve">Plain-language study </w:t>
      </w:r>
      <w:r w:rsidR="00502A2B" w:rsidRPr="001B3E02">
        <w:t>materials</w:t>
      </w:r>
      <w:r w:rsidRPr="001B3E02">
        <w:t>.</w:t>
      </w:r>
    </w:p>
    <w:p w14:paraId="6F89453A" w14:textId="77777777" w:rsidR="00633C7C" w:rsidRPr="001B3E02" w:rsidRDefault="00633C7C" w:rsidP="00633C7C">
      <w:pPr>
        <w:numPr>
          <w:ilvl w:val="0"/>
          <w:numId w:val="18"/>
        </w:numPr>
        <w:rPr>
          <w:lang w:eastAsia="en-CA"/>
        </w:rPr>
      </w:pPr>
      <w:r w:rsidRPr="001B3E02">
        <w:t xml:space="preserve">More than one format that supports </w:t>
      </w:r>
      <w:r w:rsidRPr="001B3E02">
        <w:rPr>
          <w:b/>
          <w:bCs/>
        </w:rPr>
        <w:t>barrier-free access</w:t>
      </w:r>
      <w:r w:rsidRPr="001B3E02">
        <w:t xml:space="preserve"> (for example, Word/PDF and a web page).</w:t>
      </w:r>
    </w:p>
    <w:p w14:paraId="762D5FC8" w14:textId="77777777" w:rsidR="00DF70AF" w:rsidRPr="001B3E02" w:rsidRDefault="00DF70AF" w:rsidP="00DF70AF">
      <w:pPr>
        <w:numPr>
          <w:ilvl w:val="0"/>
          <w:numId w:val="18"/>
        </w:numPr>
        <w:spacing w:beforeAutospacing="1" w:after="0" w:afterAutospacing="1"/>
      </w:pPr>
      <w:r w:rsidRPr="001B3E02">
        <w:t>More than one way to consent and a way to confirm what was agreed to.</w:t>
      </w:r>
    </w:p>
    <w:p w14:paraId="713EFC58" w14:textId="77777777" w:rsidR="00633C7C" w:rsidRPr="001B3E02" w:rsidRDefault="00633C7C" w:rsidP="00633C7C">
      <w:pPr>
        <w:numPr>
          <w:ilvl w:val="0"/>
          <w:numId w:val="18"/>
        </w:numPr>
        <w:rPr>
          <w:lang w:eastAsia="en-CA"/>
        </w:rPr>
      </w:pPr>
      <w:r w:rsidRPr="001B3E02">
        <w:t>A private, simple way to ask for supports without repeated sharing of personal information.</w:t>
      </w:r>
    </w:p>
    <w:p w14:paraId="2ADC0C30" w14:textId="77777777" w:rsidR="00633C7C" w:rsidRPr="001B3E02" w:rsidRDefault="00633C7C" w:rsidP="00633C7C">
      <w:pPr>
        <w:numPr>
          <w:ilvl w:val="0"/>
          <w:numId w:val="18"/>
        </w:numPr>
        <w:rPr>
          <w:lang w:eastAsia="en-CA"/>
        </w:rPr>
      </w:pPr>
      <w:r w:rsidRPr="001B3E02">
        <w:t xml:space="preserve">Tools that support </w:t>
      </w:r>
      <w:r w:rsidRPr="001B3E02">
        <w:rPr>
          <w:b/>
          <w:bCs/>
        </w:rPr>
        <w:t>barrier-free access</w:t>
      </w:r>
      <w:r w:rsidRPr="001B3E02">
        <w:t xml:space="preserve"> (tested before the study starts), or a clear back-up option.</w:t>
      </w:r>
    </w:p>
    <w:p w14:paraId="6BC09FF6" w14:textId="77777777" w:rsidR="009E33F8" w:rsidRPr="001B3E02" w:rsidRDefault="009E33F8" w:rsidP="009E33F8">
      <w:pPr>
        <w:numPr>
          <w:ilvl w:val="0"/>
          <w:numId w:val="18"/>
        </w:numPr>
        <w:rPr>
          <w:lang w:eastAsia="en-CA"/>
        </w:rPr>
      </w:pPr>
      <w:r w:rsidRPr="001B3E02">
        <w:t>Clear ways to pay people back and provide payment.</w:t>
      </w:r>
    </w:p>
    <w:p w14:paraId="1C9D6F6B" w14:textId="77777777" w:rsidR="00CA3F3E" w:rsidRDefault="00CA3F3E" w:rsidP="00CA3F3E">
      <w:pPr>
        <w:pStyle w:val="Heading2"/>
        <w:rPr>
          <w:lang w:eastAsia="en-CA"/>
        </w:rPr>
      </w:pPr>
      <w:r>
        <w:t>Participant-centred principles</w:t>
      </w:r>
    </w:p>
    <w:p w14:paraId="44FE50A3" w14:textId="77777777" w:rsidR="0067290B" w:rsidRPr="001B3E02" w:rsidRDefault="0067290B" w:rsidP="001B3E02">
      <w:pPr>
        <w:ind w:firstLine="0"/>
        <w:rPr>
          <w:lang w:eastAsia="en-CA"/>
        </w:rPr>
      </w:pPr>
      <w:r w:rsidRPr="001B3E02">
        <w:rPr>
          <w:b/>
          <w:bCs/>
        </w:rPr>
        <w:t>Rights and dignity:</w:t>
      </w:r>
      <w:r w:rsidRPr="001B3E02">
        <w:t xml:space="preserve"> Do not exclude people because access takes planning.</w:t>
      </w:r>
    </w:p>
    <w:p w14:paraId="6B685301" w14:textId="77777777" w:rsidR="0067290B" w:rsidRPr="001B3E02" w:rsidRDefault="0067290B" w:rsidP="001B3E02">
      <w:pPr>
        <w:ind w:firstLine="0"/>
      </w:pPr>
      <w:r w:rsidRPr="001B3E02">
        <w:rPr>
          <w:b/>
          <w:bCs/>
        </w:rPr>
        <w:t>Plain language and communication access:</w:t>
      </w:r>
      <w:r w:rsidRPr="001B3E02">
        <w:t xml:space="preserve"> Provide communication supports as part of the study (for example, AAC, captioning, sign language</w:t>
      </w:r>
      <w:proofErr w:type="gramStart"/>
      <w:r w:rsidRPr="001B3E02">
        <w:t>).²</w:t>
      </w:r>
      <w:proofErr w:type="gramEnd"/>
      <w:r w:rsidRPr="001B3E02">
        <w:t>,</w:t>
      </w:r>
      <w:proofErr w:type="gramStart"/>
      <w:r w:rsidRPr="001B3E02">
        <w:t>⁴,⁶</w:t>
      </w:r>
      <w:proofErr w:type="gramEnd"/>
      <w:r w:rsidRPr="001B3E02">
        <w:t>,⁸</w:t>
      </w:r>
    </w:p>
    <w:p w14:paraId="1C454CBE" w14:textId="28C2656D" w:rsidR="0067290B" w:rsidRPr="001B3E02" w:rsidRDefault="00AE7EED" w:rsidP="001B3E02">
      <w:pPr>
        <w:ind w:firstLine="0"/>
      </w:pPr>
      <w:r w:rsidRPr="001B3E02">
        <w:rPr>
          <w:b/>
          <w:bCs/>
        </w:rPr>
        <w:t xml:space="preserve">Inclusive </w:t>
      </w:r>
      <w:r w:rsidR="0067290B" w:rsidRPr="001B3E02">
        <w:rPr>
          <w:b/>
          <w:bCs/>
        </w:rPr>
        <w:t>consent:</w:t>
      </w:r>
      <w:r w:rsidR="0067290B" w:rsidRPr="001B3E02">
        <w:t xml:space="preserve"> Consent and capacity steps must be usable and not </w:t>
      </w:r>
      <w:proofErr w:type="gramStart"/>
      <w:r w:rsidR="0067290B" w:rsidRPr="001B3E02">
        <w:t>rushed.⁸</w:t>
      </w:r>
      <w:proofErr w:type="gramEnd"/>
    </w:p>
    <w:p w14:paraId="299DE6C6" w14:textId="278974D0" w:rsidR="0067290B" w:rsidRPr="001B3E02" w:rsidRDefault="0067290B" w:rsidP="001B3E02">
      <w:pPr>
        <w:ind w:firstLine="0"/>
      </w:pPr>
      <w:r w:rsidRPr="001B3E02">
        <w:rPr>
          <w:b/>
          <w:bCs/>
        </w:rPr>
        <w:t xml:space="preserve">Flexible </w:t>
      </w:r>
      <w:r w:rsidR="00AE7EED" w:rsidRPr="001B3E02">
        <w:rPr>
          <w:b/>
          <w:bCs/>
        </w:rPr>
        <w:t>methods</w:t>
      </w:r>
      <w:r w:rsidRPr="001B3E02">
        <w:rPr>
          <w:b/>
          <w:bCs/>
        </w:rPr>
        <w:t>:</w:t>
      </w:r>
      <w:r w:rsidRPr="001B3E02">
        <w:t xml:space="preserve"> Offer another way to take part when a tool or format does not </w:t>
      </w:r>
      <w:proofErr w:type="gramStart"/>
      <w:r w:rsidRPr="001B3E02">
        <w:t>work.⁹</w:t>
      </w:r>
      <w:proofErr w:type="gramEnd"/>
    </w:p>
    <w:p w14:paraId="29AAF3ED" w14:textId="77777777" w:rsidR="0067290B" w:rsidRPr="001B3E02" w:rsidRDefault="0067290B" w:rsidP="001B3E02">
      <w:pPr>
        <w:ind w:firstLine="0"/>
      </w:pPr>
      <w:r w:rsidRPr="001B3E02">
        <w:rPr>
          <w:b/>
          <w:bCs/>
        </w:rPr>
        <w:t>Privacy and choice:</w:t>
      </w:r>
      <w:r w:rsidRPr="001B3E02">
        <w:t xml:space="preserve"> Make it possible to ask for supports privately, with minimal sharing of personal information.</w:t>
      </w:r>
    </w:p>
    <w:p w14:paraId="5C93EAF7" w14:textId="77777777" w:rsidR="00DF70AF" w:rsidRDefault="00DF70AF" w:rsidP="00502A2B">
      <w:pPr>
        <w:ind w:firstLine="0"/>
        <w:rPr>
          <w:lang w:eastAsia="en-CA"/>
        </w:rPr>
      </w:pPr>
      <w:r>
        <w:t xml:space="preserve">Other important principles in the full report include shared power and co-design, reciprocity in returning results, and training to reduce research </w:t>
      </w:r>
      <w:proofErr w:type="gramStart"/>
      <w:r>
        <w:t>ableism.¹</w:t>
      </w:r>
      <w:proofErr w:type="gramEnd"/>
      <w:r>
        <w:t>,⁵</w:t>
      </w:r>
    </w:p>
    <w:p w14:paraId="611C7D22" w14:textId="77777777" w:rsidR="00C23CC5" w:rsidRDefault="00C23CC5" w:rsidP="00C23CC5">
      <w:pPr>
        <w:pStyle w:val="Heading2"/>
        <w:rPr>
          <w:lang w:eastAsia="en-CA"/>
        </w:rPr>
      </w:pPr>
      <w:r>
        <w:t>What teams can change now (participant impact)</w:t>
      </w:r>
    </w:p>
    <w:p w14:paraId="1CF96BD4" w14:textId="77777777" w:rsidR="00C23CC5" w:rsidRPr="001B3E02" w:rsidRDefault="00C23CC5" w:rsidP="00C23CC5">
      <w:pPr>
        <w:numPr>
          <w:ilvl w:val="0"/>
          <w:numId w:val="27"/>
        </w:numPr>
        <w:spacing w:after="0"/>
        <w:rPr>
          <w:lang w:eastAsia="en-CA"/>
        </w:rPr>
      </w:pPr>
      <w:r w:rsidRPr="001B3E02">
        <w:t>Co-design with people with lived experience and pay them for their time.</w:t>
      </w:r>
    </w:p>
    <w:p w14:paraId="27AA5BC4" w14:textId="77777777" w:rsidR="00C23CC5" w:rsidRPr="001B3E02" w:rsidRDefault="00C23CC5" w:rsidP="00C23CC5">
      <w:pPr>
        <w:numPr>
          <w:ilvl w:val="0"/>
          <w:numId w:val="27"/>
        </w:numPr>
        <w:spacing w:beforeAutospacing="1" w:after="0" w:afterAutospacing="1"/>
        <w:rPr>
          <w:lang w:eastAsia="en-CA"/>
        </w:rPr>
      </w:pPr>
      <w:r w:rsidRPr="001B3E02">
        <w:t>Rewrite recruitment and consent materials in plain language.</w:t>
      </w:r>
    </w:p>
    <w:p w14:paraId="4D8F2713" w14:textId="77777777" w:rsidR="00C23CC5" w:rsidRPr="001B3E02" w:rsidRDefault="00C23CC5" w:rsidP="00C23CC5">
      <w:pPr>
        <w:numPr>
          <w:ilvl w:val="0"/>
          <w:numId w:val="27"/>
        </w:numPr>
        <w:spacing w:beforeAutospacing="1" w:after="0" w:afterAutospacing="1"/>
      </w:pPr>
      <w:r w:rsidRPr="001B3E02">
        <w:t>Send consent and privacy materials in advance; avoid rushing decisions.</w:t>
      </w:r>
    </w:p>
    <w:p w14:paraId="07DAD893" w14:textId="77777777" w:rsidR="00C23CC5" w:rsidRPr="001B3E02" w:rsidRDefault="00C23CC5" w:rsidP="00C23CC5">
      <w:pPr>
        <w:numPr>
          <w:ilvl w:val="0"/>
          <w:numId w:val="27"/>
        </w:numPr>
        <w:spacing w:beforeAutospacing="1" w:after="0" w:afterAutospacing="1"/>
      </w:pPr>
      <w:r w:rsidRPr="001B3E02">
        <w:t>Offer more than one way to consent and to participate.</w:t>
      </w:r>
    </w:p>
    <w:p w14:paraId="71B33C9E" w14:textId="77777777" w:rsidR="00C23CC5" w:rsidRPr="001B3E02" w:rsidRDefault="00C23CC5" w:rsidP="00C23CC5">
      <w:pPr>
        <w:numPr>
          <w:ilvl w:val="0"/>
          <w:numId w:val="27"/>
        </w:numPr>
        <w:spacing w:beforeAutospacing="1" w:after="0" w:afterAutospacing="1"/>
      </w:pPr>
      <w:r w:rsidRPr="001B3E02">
        <w:t>Build in a way to confirm consent and understanding.</w:t>
      </w:r>
    </w:p>
    <w:p w14:paraId="479D2608" w14:textId="77777777" w:rsidR="002A1F35" w:rsidRDefault="00C23CC5" w:rsidP="002A1F35">
      <w:pPr>
        <w:numPr>
          <w:ilvl w:val="0"/>
          <w:numId w:val="27"/>
        </w:numPr>
        <w:rPr>
          <w:lang w:eastAsia="en-CA"/>
        </w:rPr>
      </w:pPr>
      <w:r w:rsidRPr="001B3E02">
        <w:t>Test tools with assistive tools before launch. Offer another path if needed.</w:t>
      </w:r>
    </w:p>
    <w:p w14:paraId="42B86252" w14:textId="7745B0D0" w:rsidR="00C23CC5" w:rsidRPr="001B3E02" w:rsidRDefault="00C23CC5" w:rsidP="002A1F35">
      <w:pPr>
        <w:numPr>
          <w:ilvl w:val="0"/>
          <w:numId w:val="27"/>
        </w:numPr>
        <w:rPr>
          <w:lang w:eastAsia="en-CA"/>
        </w:rPr>
      </w:pPr>
      <w:r w:rsidRPr="001B3E02">
        <w:t>Use accessible payment methods and explain the steps up front.</w:t>
      </w:r>
    </w:p>
    <w:p w14:paraId="36A0BC5B" w14:textId="77777777" w:rsidR="00C23CC5" w:rsidRPr="001B3E02" w:rsidRDefault="00C23CC5" w:rsidP="00C23CC5">
      <w:pPr>
        <w:numPr>
          <w:ilvl w:val="0"/>
          <w:numId w:val="27"/>
        </w:numPr>
        <w:rPr>
          <w:lang w:eastAsia="en-CA"/>
        </w:rPr>
      </w:pPr>
      <w:r w:rsidRPr="001B3E02">
        <w:t>Create a private, simple process for access requests. Ask for minimal sharing of personal information.</w:t>
      </w:r>
    </w:p>
    <w:p w14:paraId="4F66BD5C" w14:textId="01EE553F" w:rsidR="00C23CC5" w:rsidRPr="001B3E02" w:rsidRDefault="00C23CC5" w:rsidP="00C23CC5">
      <w:pPr>
        <w:numPr>
          <w:ilvl w:val="0"/>
          <w:numId w:val="27"/>
        </w:numPr>
        <w:spacing w:beforeAutospacing="1" w:after="0" w:afterAutospacing="1"/>
      </w:pPr>
      <w:r w:rsidRPr="001B3E02">
        <w:t>Plan and budget for communication supports (including sign language where relevant</w:t>
      </w:r>
      <w:r w:rsidR="000103D6" w:rsidRPr="001B3E02">
        <w:t xml:space="preserve">). </w:t>
      </w:r>
      <w:proofErr w:type="gramStart"/>
      <w:r w:rsidR="000103D6" w:rsidRPr="001B3E02">
        <w:t>²</w:t>
      </w:r>
      <w:r w:rsidRPr="001B3E02">
        <w:t>,⁴</w:t>
      </w:r>
      <w:proofErr w:type="gramEnd"/>
      <w:r w:rsidRPr="001B3E02">
        <w:t>,</w:t>
      </w:r>
      <w:proofErr w:type="gramStart"/>
      <w:r w:rsidRPr="001B3E02">
        <w:t>⁶,⁸</w:t>
      </w:r>
      <w:proofErr w:type="gramEnd"/>
    </w:p>
    <w:p w14:paraId="337B4525" w14:textId="77777777" w:rsidR="00C23CC5" w:rsidRPr="001B3E02" w:rsidRDefault="00C23CC5" w:rsidP="00C23CC5">
      <w:pPr>
        <w:numPr>
          <w:ilvl w:val="0"/>
          <w:numId w:val="27"/>
        </w:numPr>
        <w:spacing w:beforeAutospacing="1" w:after="0" w:afterAutospacing="1"/>
      </w:pPr>
      <w:r w:rsidRPr="001B3E02">
        <w:t>Return results in accessible formats.</w:t>
      </w:r>
    </w:p>
    <w:p w14:paraId="7EEBCD24" w14:textId="2C5AF4F7" w:rsidR="00BD2816" w:rsidRDefault="0008282A">
      <w:pPr>
        <w:rPr>
          <w:lang w:eastAsia="en-CA"/>
        </w:rPr>
      </w:pPr>
      <w:r>
        <w:t xml:space="preserve">Barrier free </w:t>
      </w:r>
      <w:r w:rsidR="00131DEB">
        <w:t>access</w:t>
      </w:r>
      <w:r>
        <w:t xml:space="preserve"> in the research </w:t>
      </w:r>
      <w:proofErr w:type="spellStart"/>
      <w:r>
        <w:t>cycl</w:t>
      </w:r>
      <w:proofErr w:type="spellEnd"/>
      <w:r w:rsidR="000103D6">
        <w:rPr>
          <w:rFonts w:eastAsiaTheme="majorEastAsia" w:cstheme="majorBidi"/>
          <w:b/>
          <w:bCs/>
          <w:sz w:val="32"/>
          <w:szCs w:val="32"/>
        </w:rPr>
        <w:t>⁴, ⁶⁶⁶</w:t>
      </w:r>
      <w:r w:rsidR="00BD2816">
        <w:t xml:space="preserve">his section is a minimum checklist for barrier-free, inclusive research practice. </w:t>
      </w:r>
      <w:r w:rsidR="00BD2816">
        <w:rPr>
          <w:b/>
          <w:bCs/>
        </w:rPr>
        <w:t>For participants</w:t>
      </w:r>
      <w:r w:rsidR="00BD2816">
        <w:t xml:space="preserve">, it explains what you can expect when you join a study. </w:t>
      </w:r>
      <w:r w:rsidR="00BD2816">
        <w:rPr>
          <w:b/>
          <w:bCs/>
        </w:rPr>
        <w:t>For research teams and REBs</w:t>
      </w:r>
      <w:r w:rsidR="00BD2816">
        <w:t>, it lists what must be planned, documented, and checked during ethics review. It connects directly to the “Before you join a study” section above.</w:t>
      </w:r>
    </w:p>
    <w:p w14:paraId="20100B2E" w14:textId="77777777" w:rsidR="00DF70AF" w:rsidRPr="000103D6" w:rsidRDefault="00DF70AF" w:rsidP="000103D6">
      <w:pPr>
        <w:pStyle w:val="Heading3"/>
      </w:pPr>
      <w:r w:rsidRPr="000103D6">
        <w:t>Before recruitment</w:t>
      </w:r>
    </w:p>
    <w:p w14:paraId="45F64DF8" w14:textId="77777777" w:rsidR="00CA3F3E" w:rsidRPr="001B3E02" w:rsidRDefault="00CA3F3E" w:rsidP="00CA3F3E">
      <w:pPr>
        <w:numPr>
          <w:ilvl w:val="0"/>
          <w:numId w:val="20"/>
        </w:numPr>
        <w:rPr>
          <w:lang w:eastAsia="en-CA"/>
        </w:rPr>
      </w:pPr>
      <w:r w:rsidRPr="001B3E02">
        <w:t>Provide a plain-language study summary. Include purpose, what happens, time, risks, benefits, and payment.</w:t>
      </w:r>
    </w:p>
    <w:p w14:paraId="472B3CA1" w14:textId="77777777" w:rsidR="00CA3F3E" w:rsidRPr="001B3E02" w:rsidRDefault="00CA3F3E" w:rsidP="00CA3F3E">
      <w:pPr>
        <w:numPr>
          <w:ilvl w:val="0"/>
          <w:numId w:val="20"/>
        </w:numPr>
        <w:rPr>
          <w:lang w:eastAsia="en-CA"/>
        </w:rPr>
      </w:pPr>
      <w:r w:rsidRPr="001B3E02">
        <w:t xml:space="preserve">Offer key documents in more than one format that supports </w:t>
      </w:r>
      <w:r w:rsidRPr="001B3E02">
        <w:rPr>
          <w:b/>
          <w:bCs/>
        </w:rPr>
        <w:t>barrier-free access</w:t>
      </w:r>
      <w:r w:rsidRPr="001B3E02">
        <w:t xml:space="preserve"> (for example, Word and a web page).</w:t>
      </w:r>
    </w:p>
    <w:p w14:paraId="4FCE5A0C" w14:textId="77777777" w:rsidR="00CA3F3E" w:rsidRPr="001B3E02" w:rsidRDefault="00CA3F3E" w:rsidP="00CA3F3E">
      <w:pPr>
        <w:numPr>
          <w:ilvl w:val="0"/>
          <w:numId w:val="20"/>
        </w:numPr>
        <w:rPr>
          <w:lang w:eastAsia="en-CA"/>
        </w:rPr>
      </w:pPr>
      <w:r w:rsidRPr="001B3E02">
        <w:t xml:space="preserve">Share a private way to ask for </w:t>
      </w:r>
      <w:proofErr w:type="gramStart"/>
      <w:r w:rsidRPr="001B3E02">
        <w:t>supports, and</w:t>
      </w:r>
      <w:proofErr w:type="gramEnd"/>
      <w:r w:rsidRPr="001B3E02">
        <w:t xml:space="preserve"> explain what happens next.</w:t>
      </w:r>
    </w:p>
    <w:p w14:paraId="279FF660" w14:textId="77777777" w:rsidR="00DF70AF" w:rsidRPr="001B3E02" w:rsidRDefault="00DF70AF" w:rsidP="00DF70AF">
      <w:pPr>
        <w:numPr>
          <w:ilvl w:val="0"/>
          <w:numId w:val="20"/>
        </w:numPr>
        <w:spacing w:beforeAutospacing="1" w:after="0" w:afterAutospacing="1"/>
      </w:pPr>
      <w:r w:rsidRPr="001B3E02">
        <w:t>Do not require participants to disclose disability details to get basic access.</w:t>
      </w:r>
    </w:p>
    <w:p w14:paraId="643208E5" w14:textId="77777777" w:rsidR="00DF70AF" w:rsidRDefault="00DF70AF" w:rsidP="000103D6">
      <w:pPr>
        <w:pStyle w:val="Heading3"/>
        <w:rPr>
          <w:lang w:eastAsia="en-CA"/>
        </w:rPr>
      </w:pPr>
      <w:r>
        <w:t>Consent and privacy</w:t>
      </w:r>
    </w:p>
    <w:p w14:paraId="3F0250A0" w14:textId="77777777" w:rsidR="00DF70AF" w:rsidRDefault="00DF70AF" w:rsidP="00DF70AF">
      <w:pPr>
        <w:numPr>
          <w:ilvl w:val="0"/>
          <w:numId w:val="21"/>
        </w:numPr>
        <w:spacing w:beforeAutospacing="1" w:after="0" w:afterAutospacing="1"/>
        <w:rPr>
          <w:rFonts w:asciiTheme="minorHAnsi" w:hAnsiTheme="minorHAnsi"/>
          <w:lang w:eastAsia="en-CA"/>
        </w:rPr>
      </w:pPr>
      <w:r>
        <w:rPr>
          <w:rFonts w:asciiTheme="minorHAnsi" w:hAnsiTheme="minorHAnsi"/>
        </w:rPr>
        <w:t>Send consent and privacy information in advance so people can review it without pressure.</w:t>
      </w:r>
    </w:p>
    <w:p w14:paraId="56DBCD09" w14:textId="77777777" w:rsidR="00DF70AF" w:rsidRDefault="00DF70AF" w:rsidP="00DF70AF">
      <w:pPr>
        <w:numPr>
          <w:ilvl w:val="0"/>
          <w:numId w:val="21"/>
        </w:numPr>
        <w:spacing w:beforeAutospacing="1" w:after="0" w:afterAutospacing="1"/>
        <w:rPr>
          <w:rFonts w:asciiTheme="minorHAnsi" w:hAnsiTheme="minorHAnsi"/>
        </w:rPr>
      </w:pPr>
      <w:r>
        <w:rPr>
          <w:rFonts w:asciiTheme="minorHAnsi" w:hAnsiTheme="minorHAnsi"/>
        </w:rPr>
        <w:t>Offer more than one way to consent (online, phone, in person, or virtual).</w:t>
      </w:r>
    </w:p>
    <w:p w14:paraId="4955B3FA" w14:textId="77777777" w:rsidR="00DF70AF" w:rsidRDefault="00DF70AF" w:rsidP="00DF70AF">
      <w:pPr>
        <w:numPr>
          <w:ilvl w:val="0"/>
          <w:numId w:val="21"/>
        </w:numPr>
        <w:spacing w:beforeAutospacing="1" w:after="0" w:afterAutospacing="1"/>
        <w:rPr>
          <w:rFonts w:asciiTheme="minorHAnsi" w:hAnsiTheme="minorHAnsi"/>
        </w:rPr>
      </w:pPr>
      <w:r>
        <w:rPr>
          <w:rFonts w:asciiTheme="minorHAnsi" w:hAnsiTheme="minorHAnsi"/>
        </w:rPr>
        <w:t>Add a simple “confirm understanding” step (for example, a checklist, teach-back, or questions).</w:t>
      </w:r>
    </w:p>
    <w:p w14:paraId="71596117" w14:textId="77777777" w:rsidR="00633C7C" w:rsidRDefault="00633C7C" w:rsidP="00633C7C">
      <w:pPr>
        <w:numPr>
          <w:ilvl w:val="0"/>
          <w:numId w:val="21"/>
        </w:numPr>
        <w:spacing w:after="0"/>
        <w:rPr>
          <w:lang w:eastAsia="en-CA"/>
        </w:rPr>
      </w:pPr>
      <w:r>
        <w:rPr>
          <w:rFonts w:ascii="Aptos" w:hAnsi="Aptos"/>
        </w:rPr>
        <w:t>Make consent steps usable with assistive tools.</w:t>
      </w:r>
    </w:p>
    <w:p w14:paraId="5D986D67" w14:textId="77777777" w:rsidR="00A73180" w:rsidRDefault="00A73180" w:rsidP="00A73180">
      <w:pPr>
        <w:numPr>
          <w:ilvl w:val="0"/>
          <w:numId w:val="21"/>
        </w:numPr>
        <w:spacing w:after="0"/>
        <w:rPr>
          <w:lang w:eastAsia="en-CA"/>
        </w:rPr>
      </w:pPr>
      <w:r>
        <w:rPr>
          <w:rFonts w:ascii="Aptos" w:hAnsi="Aptos"/>
        </w:rPr>
        <w:t>Avoid short time limits and hard sign-in steps.</w:t>
      </w:r>
    </w:p>
    <w:p w14:paraId="59EEC960" w14:textId="77777777" w:rsidR="00DF70AF" w:rsidRDefault="00DF70AF" w:rsidP="00A73180">
      <w:pPr>
        <w:numPr>
          <w:ilvl w:val="0"/>
          <w:numId w:val="21"/>
        </w:numPr>
        <w:spacing w:beforeAutospacing="1" w:after="0" w:afterAutospacing="1"/>
        <w:rPr>
          <w:rFonts w:asciiTheme="minorHAnsi" w:hAnsiTheme="minorHAnsi"/>
        </w:rPr>
      </w:pPr>
      <w:r>
        <w:rPr>
          <w:rFonts w:asciiTheme="minorHAnsi" w:hAnsiTheme="minorHAnsi"/>
        </w:rPr>
        <w:t xml:space="preserve">Protect privacy: do not require verbal disclosure of personal information in public </w:t>
      </w:r>
      <w:proofErr w:type="gramStart"/>
      <w:r>
        <w:rPr>
          <w:rFonts w:asciiTheme="minorHAnsi" w:hAnsiTheme="minorHAnsi"/>
        </w:rPr>
        <w:t>settings.⁸</w:t>
      </w:r>
      <w:proofErr w:type="gramEnd"/>
      <w:r>
        <w:rPr>
          <w:rFonts w:asciiTheme="minorHAnsi" w:hAnsiTheme="minorHAnsi"/>
        </w:rPr>
        <w:t>,⁹</w:t>
      </w:r>
    </w:p>
    <w:p w14:paraId="5D797204" w14:textId="77777777" w:rsidR="00DF70AF" w:rsidRDefault="00DF70AF" w:rsidP="000103D6">
      <w:pPr>
        <w:pStyle w:val="Heading3"/>
        <w:rPr>
          <w:lang w:eastAsia="en-CA"/>
        </w:rPr>
      </w:pPr>
      <w:r>
        <w:t>Participation (data collection)</w:t>
      </w:r>
    </w:p>
    <w:p w14:paraId="6E015D7C" w14:textId="77777777" w:rsidR="00633C7C" w:rsidRDefault="00633C7C" w:rsidP="00633C7C">
      <w:pPr>
        <w:numPr>
          <w:ilvl w:val="0"/>
          <w:numId w:val="22"/>
        </w:numPr>
        <w:spacing w:line="276" w:lineRule="auto"/>
        <w:rPr>
          <w:lang w:eastAsia="en-CA"/>
        </w:rPr>
      </w:pPr>
      <w:r>
        <w:rPr>
          <w:rFonts w:ascii="Aptos" w:hAnsi="Aptos"/>
        </w:rPr>
        <w:t>Test surveys and platforms with assistive tools before launch.</w:t>
      </w:r>
    </w:p>
    <w:p w14:paraId="1EA6A855" w14:textId="77777777" w:rsidR="00DF70AF" w:rsidRDefault="00DF70AF" w:rsidP="00DF70AF">
      <w:pPr>
        <w:numPr>
          <w:ilvl w:val="0"/>
          <w:numId w:val="22"/>
        </w:numPr>
        <w:spacing w:before="100" w:beforeAutospacing="1" w:after="100" w:afterAutospacing="1" w:line="278" w:lineRule="auto"/>
        <w:rPr>
          <w:rFonts w:asciiTheme="minorHAnsi" w:hAnsiTheme="minorHAnsi"/>
        </w:rPr>
      </w:pPr>
      <w:r>
        <w:rPr>
          <w:rFonts w:asciiTheme="minorHAnsi" w:hAnsiTheme="minorHAnsi"/>
        </w:rPr>
        <w:t>Avoid complex layouts (for example, large matrices) that are hard to navigate.</w:t>
      </w:r>
    </w:p>
    <w:p w14:paraId="31528284" w14:textId="77777777" w:rsidR="00CA3F3E" w:rsidRDefault="00CA3F3E" w:rsidP="00CA3F3E">
      <w:pPr>
        <w:numPr>
          <w:ilvl w:val="0"/>
          <w:numId w:val="22"/>
        </w:numPr>
        <w:spacing w:line="276" w:lineRule="auto"/>
        <w:rPr>
          <w:lang w:eastAsia="en-CA"/>
        </w:rPr>
      </w:pPr>
      <w:r>
        <w:rPr>
          <w:rFonts w:ascii="Aptos" w:hAnsi="Aptos"/>
        </w:rPr>
        <w:t>Offer another way to take part when needed (for example, a phone interview).</w:t>
      </w:r>
    </w:p>
    <w:p w14:paraId="5AB6D09B" w14:textId="77777777" w:rsidR="00CA3F3E" w:rsidRDefault="00CA3F3E" w:rsidP="00CA3F3E">
      <w:pPr>
        <w:numPr>
          <w:ilvl w:val="0"/>
          <w:numId w:val="22"/>
        </w:numPr>
        <w:spacing w:line="276" w:lineRule="auto"/>
        <w:rPr>
          <w:lang w:eastAsia="en-CA"/>
        </w:rPr>
      </w:pPr>
      <w:r>
        <w:rPr>
          <w:rFonts w:ascii="Aptos" w:hAnsi="Aptos"/>
        </w:rPr>
        <w:t xml:space="preserve">Explain the steps clearly. Give extra time when </w:t>
      </w:r>
      <w:proofErr w:type="gramStart"/>
      <w:r>
        <w:rPr>
          <w:rFonts w:ascii="Aptos" w:hAnsi="Aptos"/>
        </w:rPr>
        <w:t>needed.⁹</w:t>
      </w:r>
      <w:proofErr w:type="gramEnd"/>
    </w:p>
    <w:p w14:paraId="5E78C3CB" w14:textId="77777777" w:rsidR="00CA3F3E" w:rsidRDefault="00CA3F3E" w:rsidP="000103D6">
      <w:pPr>
        <w:pStyle w:val="Heading3"/>
        <w:rPr>
          <w:lang w:eastAsia="en-CA"/>
        </w:rPr>
      </w:pPr>
      <w:r>
        <w:t>Payment and pay-back</w:t>
      </w:r>
    </w:p>
    <w:p w14:paraId="1FF7B119" w14:textId="77777777" w:rsidR="00CA3F3E" w:rsidRDefault="00CA3F3E">
      <w:pPr>
        <w:rPr>
          <w:lang w:eastAsia="en-CA"/>
        </w:rPr>
      </w:pPr>
      <w:r>
        <w:t>Payment should not create new barriers. In the ethics application audit, only 5 of 28 audited entities mentioned payment or paying back costs for people with disabilities. Four of those five gave more detailed instructions.</w:t>
      </w:r>
    </w:p>
    <w:p w14:paraId="733E9166" w14:textId="77777777" w:rsidR="00DF70AF" w:rsidRPr="001B3E02" w:rsidRDefault="00DF70AF" w:rsidP="001B3E02">
      <w:pPr>
        <w:numPr>
          <w:ilvl w:val="0"/>
          <w:numId w:val="23"/>
        </w:numPr>
        <w:spacing w:before="100" w:beforeAutospacing="1" w:after="100" w:afterAutospacing="1"/>
        <w:rPr>
          <w:lang w:eastAsia="en-CA"/>
        </w:rPr>
      </w:pPr>
      <w:r w:rsidRPr="001B3E02">
        <w:t>State payment clearly (amount, method, timing, and any steps).</w:t>
      </w:r>
    </w:p>
    <w:p w14:paraId="37320E52" w14:textId="77777777" w:rsidR="00CA3F3E" w:rsidRPr="001B3E02" w:rsidRDefault="00CA3F3E" w:rsidP="001B3E02">
      <w:pPr>
        <w:numPr>
          <w:ilvl w:val="0"/>
          <w:numId w:val="23"/>
        </w:numPr>
        <w:rPr>
          <w:lang w:eastAsia="en-CA"/>
        </w:rPr>
      </w:pPr>
      <w:r w:rsidRPr="001B3E02">
        <w:t xml:space="preserve">Offer options that support </w:t>
      </w:r>
      <w:r w:rsidRPr="001B3E02">
        <w:rPr>
          <w:b/>
          <w:bCs/>
        </w:rPr>
        <w:t>barrier-free access</w:t>
      </w:r>
      <w:r w:rsidRPr="001B3E02">
        <w:t>. Do not use gift cards only.</w:t>
      </w:r>
    </w:p>
    <w:p w14:paraId="396CAFA1" w14:textId="77777777" w:rsidR="00633C7C" w:rsidRPr="001B3E02" w:rsidRDefault="00633C7C" w:rsidP="001B3E02">
      <w:pPr>
        <w:numPr>
          <w:ilvl w:val="0"/>
          <w:numId w:val="23"/>
        </w:numPr>
        <w:rPr>
          <w:lang w:eastAsia="en-CA"/>
        </w:rPr>
      </w:pPr>
      <w:r w:rsidRPr="001B3E02">
        <w:t>Keep paperwork to a minimum. Do not ask for unnecessary medical paperwork.</w:t>
      </w:r>
    </w:p>
    <w:p w14:paraId="4E4EF3BE" w14:textId="77777777" w:rsidR="00DF70AF" w:rsidRDefault="00DF70AF" w:rsidP="000103D6">
      <w:pPr>
        <w:pStyle w:val="Heading3"/>
        <w:rPr>
          <w:lang w:eastAsia="en-CA"/>
        </w:rPr>
      </w:pPr>
      <w:r>
        <w:t>After participation (returning results)</w:t>
      </w:r>
    </w:p>
    <w:p w14:paraId="5F9DFEEE" w14:textId="77777777" w:rsidR="00DF70AF" w:rsidRPr="001B3E02" w:rsidRDefault="00DF70AF" w:rsidP="001B3E02">
      <w:pPr>
        <w:numPr>
          <w:ilvl w:val="0"/>
          <w:numId w:val="24"/>
        </w:numPr>
        <w:spacing w:before="100" w:beforeAutospacing="1" w:after="100" w:afterAutospacing="1"/>
        <w:rPr>
          <w:lang w:eastAsia="en-CA"/>
        </w:rPr>
      </w:pPr>
      <w:r w:rsidRPr="001B3E02">
        <w:t>Tell participants if and how they will receive study updates and results.</w:t>
      </w:r>
    </w:p>
    <w:p w14:paraId="691E88E8" w14:textId="77777777" w:rsidR="00CA3F3E" w:rsidRPr="001B3E02" w:rsidRDefault="00CA3F3E" w:rsidP="001B3E02">
      <w:pPr>
        <w:numPr>
          <w:ilvl w:val="0"/>
          <w:numId w:val="24"/>
        </w:numPr>
        <w:rPr>
          <w:lang w:eastAsia="en-CA"/>
        </w:rPr>
      </w:pPr>
      <w:r w:rsidRPr="001B3E02">
        <w:t xml:space="preserve">Provide results in more than one format that supports </w:t>
      </w:r>
      <w:r w:rsidRPr="001B3E02">
        <w:rPr>
          <w:b/>
          <w:bCs/>
        </w:rPr>
        <w:t>barrier-free access</w:t>
      </w:r>
      <w:r w:rsidRPr="001B3E02">
        <w:t>.</w:t>
      </w:r>
    </w:p>
    <w:p w14:paraId="44EC9483" w14:textId="77777777" w:rsidR="00A73180" w:rsidRPr="001B3E02" w:rsidRDefault="00A73180" w:rsidP="001B3E02">
      <w:pPr>
        <w:numPr>
          <w:ilvl w:val="0"/>
          <w:numId w:val="24"/>
        </w:numPr>
        <w:spacing w:after="0"/>
        <w:rPr>
          <w:lang w:eastAsia="en-CA"/>
        </w:rPr>
      </w:pPr>
      <w:r w:rsidRPr="001B3E02">
        <w:t>Plan for communication access (including sign language where relevant).</w:t>
      </w:r>
    </w:p>
    <w:p w14:paraId="2CC3B31B" w14:textId="77777777" w:rsidR="00A73180" w:rsidRPr="001B3E02" w:rsidRDefault="00A73180" w:rsidP="001B3E02">
      <w:pPr>
        <w:numPr>
          <w:ilvl w:val="0"/>
          <w:numId w:val="24"/>
        </w:numPr>
        <w:spacing w:after="0"/>
        <w:rPr>
          <w:lang w:eastAsia="en-CA"/>
        </w:rPr>
      </w:pPr>
      <w:r w:rsidRPr="001B3E02">
        <w:t>In the audit notes, only 3 entities required more than one format for results. Sign language was not mentioned.</w:t>
      </w:r>
    </w:p>
    <w:p w14:paraId="13B0E6F2" w14:textId="77777777" w:rsidR="00DF70AF" w:rsidRDefault="00DF70AF" w:rsidP="000103D6">
      <w:pPr>
        <w:pStyle w:val="Heading3"/>
        <w:rPr>
          <w:lang w:eastAsia="en-CA"/>
        </w:rPr>
      </w:pPr>
      <w:r>
        <w:t>Safety and privacy: do and don’t</w:t>
      </w:r>
    </w:p>
    <w:p w14:paraId="301141B9" w14:textId="77777777" w:rsidR="00DF70AF" w:rsidRPr="000103D6" w:rsidRDefault="00DF70AF" w:rsidP="00DF70AF">
      <w:pPr>
        <w:numPr>
          <w:ilvl w:val="0"/>
          <w:numId w:val="25"/>
        </w:numPr>
        <w:spacing w:beforeAutospacing="1" w:after="0" w:afterAutospacing="1"/>
        <w:rPr>
          <w:lang w:eastAsia="en-CA"/>
        </w:rPr>
      </w:pPr>
      <w:r w:rsidRPr="000103D6">
        <w:rPr>
          <w:b/>
          <w:bCs/>
        </w:rPr>
        <w:t>Do</w:t>
      </w:r>
      <w:r w:rsidRPr="000103D6">
        <w:t xml:space="preserve"> provide a private way to ask questions and request supports.</w:t>
      </w:r>
    </w:p>
    <w:p w14:paraId="2113179F" w14:textId="77777777" w:rsidR="00DF70AF" w:rsidRPr="000103D6" w:rsidRDefault="00DF70AF" w:rsidP="00DF70AF">
      <w:pPr>
        <w:numPr>
          <w:ilvl w:val="0"/>
          <w:numId w:val="25"/>
        </w:numPr>
        <w:spacing w:beforeAutospacing="1" w:after="0" w:afterAutospacing="1"/>
      </w:pPr>
      <w:r w:rsidRPr="000103D6">
        <w:rPr>
          <w:b/>
          <w:bCs/>
        </w:rPr>
        <w:t>Do</w:t>
      </w:r>
      <w:r w:rsidRPr="000103D6">
        <w:t xml:space="preserve"> let participants choose who supports them (if anyone) during consent and data collection.</w:t>
      </w:r>
    </w:p>
    <w:p w14:paraId="747DF830" w14:textId="77777777" w:rsidR="00DF70AF" w:rsidRPr="000103D6" w:rsidRDefault="00DF70AF" w:rsidP="00DF70AF">
      <w:pPr>
        <w:numPr>
          <w:ilvl w:val="0"/>
          <w:numId w:val="25"/>
        </w:numPr>
        <w:spacing w:beforeAutospacing="1" w:after="0" w:afterAutospacing="1"/>
      </w:pPr>
      <w:r w:rsidRPr="000103D6">
        <w:rPr>
          <w:b/>
          <w:bCs/>
        </w:rPr>
        <w:t>Don’t</w:t>
      </w:r>
      <w:r w:rsidRPr="000103D6">
        <w:t xml:space="preserve"> force public or verbal disclosure of disability or support needs.</w:t>
      </w:r>
    </w:p>
    <w:p w14:paraId="1FA749F1" w14:textId="77777777" w:rsidR="00DF70AF" w:rsidRPr="000103D6" w:rsidRDefault="00DF70AF" w:rsidP="00DF70AF">
      <w:pPr>
        <w:numPr>
          <w:ilvl w:val="0"/>
          <w:numId w:val="25"/>
        </w:numPr>
        <w:spacing w:beforeAutospacing="1" w:after="0" w:afterAutospacing="1"/>
      </w:pPr>
      <w:r w:rsidRPr="000103D6">
        <w:rPr>
          <w:b/>
          <w:bCs/>
        </w:rPr>
        <w:t>Don’t</w:t>
      </w:r>
      <w:r w:rsidRPr="000103D6">
        <w:t xml:space="preserve"> rely on “rushed” consent or one-time steps that can’t be reviewed.</w:t>
      </w:r>
    </w:p>
    <w:p w14:paraId="753DC2AF" w14:textId="77777777" w:rsidR="00DF70AF" w:rsidRDefault="00DF70AF" w:rsidP="000103D6">
      <w:pPr>
        <w:pStyle w:val="Heading3"/>
        <w:rPr>
          <w:lang w:eastAsia="en-CA"/>
        </w:rPr>
      </w:pPr>
      <w:r>
        <w:t>Quick-start checklist for research teams</w:t>
      </w:r>
    </w:p>
    <w:p w14:paraId="1FEAA89C" w14:textId="77777777" w:rsidR="001D7F1E" w:rsidRPr="001B3E02" w:rsidRDefault="001D7F1E" w:rsidP="001B3E02">
      <w:pPr>
        <w:pStyle w:val="ListParagraph"/>
        <w:numPr>
          <w:ilvl w:val="0"/>
          <w:numId w:val="95"/>
        </w:numPr>
        <w:spacing w:after="0"/>
        <w:rPr>
          <w:lang w:eastAsia="en-CA"/>
        </w:rPr>
      </w:pPr>
      <w:r w:rsidRPr="001B3E02">
        <w:t>Co-design the study with people with lived experience (from the question to the materials).</w:t>
      </w:r>
    </w:p>
    <w:p w14:paraId="17183FE8" w14:textId="77777777" w:rsidR="00DF70AF" w:rsidRPr="001B3E02" w:rsidRDefault="00DF70AF" w:rsidP="001B3E02">
      <w:pPr>
        <w:pStyle w:val="ListParagraph"/>
        <w:numPr>
          <w:ilvl w:val="0"/>
          <w:numId w:val="95"/>
        </w:numPr>
        <w:spacing w:beforeAutospacing="1" w:after="0" w:afterAutospacing="1"/>
        <w:rPr>
          <w:lang w:eastAsia="en-CA"/>
        </w:rPr>
      </w:pPr>
      <w:r w:rsidRPr="001B3E02">
        <w:t>Write a plain-language study summary (1 page).</w:t>
      </w:r>
    </w:p>
    <w:p w14:paraId="65D7FB29" w14:textId="77777777" w:rsidR="0067290B" w:rsidRPr="001B3E02" w:rsidRDefault="0067290B" w:rsidP="001B3E02">
      <w:pPr>
        <w:pStyle w:val="ListParagraph"/>
        <w:numPr>
          <w:ilvl w:val="0"/>
          <w:numId w:val="95"/>
        </w:numPr>
        <w:rPr>
          <w:lang w:eastAsia="en-CA"/>
        </w:rPr>
      </w:pPr>
      <w:r w:rsidRPr="001B3E02">
        <w:t xml:space="preserve">Provide consent and privacy materials in at least 2 formats that support </w:t>
      </w:r>
      <w:r w:rsidRPr="001B3E02">
        <w:rPr>
          <w:b/>
          <w:bCs/>
        </w:rPr>
        <w:t>barrier-free access</w:t>
      </w:r>
      <w:r w:rsidRPr="001B3E02">
        <w:t>.</w:t>
      </w:r>
    </w:p>
    <w:p w14:paraId="110BD13D" w14:textId="77777777" w:rsidR="00DF70AF" w:rsidRPr="001B3E02" w:rsidRDefault="00DF70AF" w:rsidP="001B3E02">
      <w:pPr>
        <w:pStyle w:val="ListParagraph"/>
        <w:numPr>
          <w:ilvl w:val="0"/>
          <w:numId w:val="95"/>
        </w:numPr>
        <w:spacing w:beforeAutospacing="1" w:after="0" w:afterAutospacing="1"/>
      </w:pPr>
      <w:r w:rsidRPr="001B3E02">
        <w:t>Send consent materials in advance and allow time for review.</w:t>
      </w:r>
    </w:p>
    <w:p w14:paraId="0D66C10B" w14:textId="77777777" w:rsidR="00DF70AF" w:rsidRPr="001B3E02" w:rsidRDefault="00DF70AF" w:rsidP="001B3E02">
      <w:pPr>
        <w:pStyle w:val="ListParagraph"/>
        <w:numPr>
          <w:ilvl w:val="0"/>
          <w:numId w:val="95"/>
        </w:numPr>
        <w:spacing w:beforeAutospacing="1" w:after="0" w:afterAutospacing="1"/>
      </w:pPr>
      <w:r w:rsidRPr="001B3E02">
        <w:t>Offer at least 2 consent routes (online + phone, or online + in person/virtual).</w:t>
      </w:r>
    </w:p>
    <w:p w14:paraId="3A087918" w14:textId="77777777" w:rsidR="00DF70AF" w:rsidRPr="001B3E02" w:rsidRDefault="00DF70AF" w:rsidP="001B3E02">
      <w:pPr>
        <w:pStyle w:val="ListParagraph"/>
        <w:numPr>
          <w:ilvl w:val="0"/>
          <w:numId w:val="95"/>
        </w:numPr>
        <w:spacing w:beforeAutospacing="1" w:after="0" w:afterAutospacing="1"/>
      </w:pPr>
      <w:r w:rsidRPr="001B3E02">
        <w:t>Add a “confirm understanding” step.</w:t>
      </w:r>
    </w:p>
    <w:p w14:paraId="7D011ACE" w14:textId="77777777" w:rsidR="00633C7C" w:rsidRPr="001B3E02" w:rsidRDefault="00633C7C" w:rsidP="001B3E02">
      <w:pPr>
        <w:pStyle w:val="ListParagraph"/>
        <w:numPr>
          <w:ilvl w:val="0"/>
          <w:numId w:val="95"/>
        </w:numPr>
        <w:rPr>
          <w:lang w:eastAsia="en-CA"/>
        </w:rPr>
      </w:pPr>
      <w:r w:rsidRPr="001B3E02">
        <w:t>Test surveys and tools with assistive tools before launch.</w:t>
      </w:r>
    </w:p>
    <w:p w14:paraId="25133BEE" w14:textId="77777777" w:rsidR="0067290B" w:rsidRPr="001B3E02" w:rsidRDefault="0067290B" w:rsidP="001B3E02">
      <w:pPr>
        <w:pStyle w:val="ListParagraph"/>
        <w:numPr>
          <w:ilvl w:val="0"/>
          <w:numId w:val="95"/>
        </w:numPr>
        <w:rPr>
          <w:lang w:eastAsia="en-CA"/>
        </w:rPr>
      </w:pPr>
      <w:r w:rsidRPr="001B3E02">
        <w:t>Offer another way to take part if tools fail.</w:t>
      </w:r>
    </w:p>
    <w:p w14:paraId="5A100B0F" w14:textId="77777777" w:rsidR="00DF70AF" w:rsidRPr="001B3E02" w:rsidRDefault="00DF70AF" w:rsidP="001B3E02">
      <w:pPr>
        <w:pStyle w:val="ListParagraph"/>
        <w:numPr>
          <w:ilvl w:val="0"/>
          <w:numId w:val="95"/>
        </w:numPr>
        <w:spacing w:beforeAutospacing="1" w:after="0" w:afterAutospacing="1"/>
      </w:pPr>
      <w:r w:rsidRPr="001B3E02">
        <w:t>Choose payment methods that are accessible and explain steps clearly.</w:t>
      </w:r>
    </w:p>
    <w:p w14:paraId="6DF8564C" w14:textId="77777777" w:rsidR="0067290B" w:rsidRPr="001B3E02" w:rsidRDefault="0067290B" w:rsidP="001B3E02">
      <w:pPr>
        <w:pStyle w:val="ListParagraph"/>
        <w:numPr>
          <w:ilvl w:val="0"/>
          <w:numId w:val="95"/>
        </w:numPr>
        <w:rPr>
          <w:lang w:eastAsia="en-CA"/>
        </w:rPr>
      </w:pPr>
      <w:r w:rsidRPr="001B3E02">
        <w:t xml:space="preserve">Plan how results will be shared back in formats that support </w:t>
      </w:r>
      <w:r w:rsidRPr="001B3E02">
        <w:rPr>
          <w:b/>
          <w:bCs/>
        </w:rPr>
        <w:t>barrier-free access</w:t>
      </w:r>
      <w:r w:rsidRPr="001B3E02">
        <w:t>.</w:t>
      </w:r>
    </w:p>
    <w:p w14:paraId="736E849E" w14:textId="77777777" w:rsidR="00DF70AF" w:rsidRPr="001B3E02" w:rsidRDefault="00DF70AF" w:rsidP="001B3E02">
      <w:pPr>
        <w:pStyle w:val="ListParagraph"/>
        <w:numPr>
          <w:ilvl w:val="0"/>
          <w:numId w:val="95"/>
        </w:numPr>
        <w:spacing w:beforeAutospacing="1" w:after="0" w:afterAutospacing="1"/>
      </w:pPr>
      <w:r w:rsidRPr="001B3E02">
        <w:t>Name a team contact for access requests and explain how requests are handled.</w:t>
      </w:r>
    </w:p>
    <w:p w14:paraId="485DA0AB" w14:textId="77777777" w:rsidR="00DF70AF" w:rsidRDefault="00DF70AF" w:rsidP="00DF70AF">
      <w:pPr>
        <w:pStyle w:val="Heading2"/>
        <w:rPr>
          <w:lang w:eastAsia="en-CA"/>
        </w:rPr>
      </w:pPr>
      <w:r>
        <w:t>Notes for REBs and institutions (participant impact)</w:t>
      </w:r>
    </w:p>
    <w:p w14:paraId="11D4C726" w14:textId="77777777" w:rsidR="00753A20" w:rsidRDefault="00753A20">
      <w:pPr>
        <w:rPr>
          <w:lang w:eastAsia="en-CA"/>
        </w:rPr>
      </w:pPr>
      <w:bookmarkStart w:id="2" w:name="OLE_LINK1"/>
      <w:bookmarkStart w:id="3" w:name="OLE_LINK2"/>
      <w:bookmarkEnd w:id="2"/>
      <w:bookmarkEnd w:id="3"/>
      <w:r>
        <w:t xml:space="preserve">REBs and institutions shape the participant experience. People often must use their forms and online systems. Those systems should support </w:t>
      </w:r>
      <w:r>
        <w:rPr>
          <w:b/>
          <w:bCs/>
        </w:rPr>
        <w:t>barrier-free access</w:t>
      </w:r>
      <w:r>
        <w:t>. Ethics applications should ask clear questions about access. For example: formats, consent options, privacy, other ways to take part, and payment. If these questions are missing, access can be overlooked.</w:t>
      </w:r>
    </w:p>
    <w:p w14:paraId="4509589C" w14:textId="537E9F93" w:rsidR="00943787" w:rsidRDefault="00943787" w:rsidP="002D4FE0">
      <w:pPr>
        <w:pStyle w:val="Heading2"/>
        <w:rPr>
          <w:kern w:val="0"/>
          <w14:ligatures w14:val="none"/>
        </w:rPr>
      </w:pPr>
      <w:r>
        <w:t>Limitations</w:t>
      </w:r>
    </w:p>
    <w:p w14:paraId="138D4957" w14:textId="041431ED" w:rsidR="009E33F8" w:rsidRDefault="009E33F8">
      <w:pPr>
        <w:rPr>
          <w:lang w:eastAsia="en-CA"/>
        </w:rPr>
      </w:pPr>
      <w:r>
        <w:t>This report has limitations. Early in the project, there was a conflict of interest involving a personal relationship on the team. This may have affected decisions and recruitment. The researchers were removed. Even so, the editorial team says it cannot fully check the work done during that period. Some findings may be less reliable</w:t>
      </w:r>
      <w:r w:rsidR="00730907">
        <w:t xml:space="preserve"> or redone</w:t>
      </w:r>
      <w:r>
        <w:t>.</w:t>
      </w:r>
    </w:p>
    <w:p w14:paraId="5F3C723C" w14:textId="5FDBDB77" w:rsidR="007B5436" w:rsidRDefault="007B5436" w:rsidP="006109FD">
      <w:r w:rsidRPr="002E2E13">
        <w:rPr>
          <w:b/>
          <w:bCs/>
        </w:rPr>
        <w:t>Funded by:</w:t>
      </w:r>
      <w:r>
        <w:t xml:space="preserve"> </w:t>
      </w:r>
      <w:r w:rsidRPr="003F4ED4">
        <w:t>Accessibility Standards Canada (Advancing Accessibility Standards Research Program</w:t>
      </w:r>
      <w:r>
        <w:t xml:space="preserve"> &amp; Office of the Privacy Commissioner of Canada, Chapter on Consent. The project is originally titled: </w:t>
      </w:r>
      <w:r w:rsidRPr="0082065B">
        <w:t>The Responsible Conduct of Research Through an Accessibility Lens</w:t>
      </w:r>
      <w:r>
        <w:t xml:space="preserve">, project ID number: </w:t>
      </w:r>
      <w:r w:rsidRPr="007D2BAF">
        <w:t>ASC-22/23-029-G</w:t>
      </w:r>
      <w:r>
        <w:t>. The ideas and opinions represented are the authors alone, and do not represent the views of either funder.</w:t>
      </w:r>
    </w:p>
    <w:p w14:paraId="4F4DD8DF" w14:textId="2DC0F9D0" w:rsidR="00943787" w:rsidRDefault="00943787" w:rsidP="002D4FE0">
      <w:pPr>
        <w:pStyle w:val="Heading2"/>
      </w:pPr>
      <w:r>
        <w:t>References</w:t>
      </w:r>
    </w:p>
    <w:p w14:paraId="471A510E" w14:textId="77777777" w:rsidR="00555FCD" w:rsidRDefault="00555FCD">
      <w:pPr>
        <w:pStyle w:val="APAReferenceList"/>
        <w:rPr>
          <w:szCs w:val="24"/>
        </w:rPr>
      </w:pPr>
      <w:r>
        <w:t xml:space="preserve">1. Banks S, Herrington T, Carter K. </w:t>
      </w:r>
      <w:r>
        <w:rPr>
          <w:i/>
          <w:iCs/>
        </w:rPr>
        <w:t>Pathways to co-impact: Action research and community organizing</w:t>
      </w:r>
      <w:r>
        <w:t>. Bristol (UK): Policy Press; 2022.</w:t>
      </w:r>
    </w:p>
    <w:p w14:paraId="60B011A1" w14:textId="77777777" w:rsidR="00555FCD" w:rsidRDefault="00555FCD">
      <w:pPr>
        <w:pStyle w:val="APAReferenceList"/>
        <w:rPr>
          <w:szCs w:val="24"/>
        </w:rPr>
      </w:pPr>
      <w:r>
        <w:t xml:space="preserve">2. Bunning K, Gona JK, Newton CR, Hartley S. The role of communication in ethical conduct of research with children with complex communication needs in low- and middle-income countries. </w:t>
      </w:r>
      <w:r>
        <w:rPr>
          <w:i/>
          <w:iCs/>
        </w:rPr>
        <w:t>J Med Ethics</w:t>
      </w:r>
      <w:r>
        <w:t>. 2022;48(10):684-690.</w:t>
      </w:r>
    </w:p>
    <w:p w14:paraId="23EE2B2B" w14:textId="77777777" w:rsidR="00555FCD" w:rsidRDefault="00555FCD">
      <w:pPr>
        <w:pStyle w:val="APAReferenceList"/>
        <w:rPr>
          <w:szCs w:val="24"/>
        </w:rPr>
      </w:pPr>
      <w:r>
        <w:t xml:space="preserve">3. Cockburn L, Roberts J, Lee S, </w:t>
      </w:r>
      <w:proofErr w:type="spellStart"/>
      <w:r>
        <w:t>Nganji</w:t>
      </w:r>
      <w:proofErr w:type="spellEnd"/>
      <w:r>
        <w:t xml:space="preserve"> J, Ho NCW, </w:t>
      </w:r>
      <w:proofErr w:type="spellStart"/>
      <w:r>
        <w:t>Kuntjoro</w:t>
      </w:r>
      <w:proofErr w:type="spellEnd"/>
      <w:r>
        <w:t xml:space="preserve"> A, et al. Considerations when asking about “disability” in disability-inclusive research. </w:t>
      </w:r>
      <w:proofErr w:type="spellStart"/>
      <w:r>
        <w:rPr>
          <w:i/>
          <w:iCs/>
        </w:rPr>
        <w:t>Disabil</w:t>
      </w:r>
      <w:proofErr w:type="spellEnd"/>
      <w:r>
        <w:rPr>
          <w:i/>
          <w:iCs/>
        </w:rPr>
        <w:t xml:space="preserve"> </w:t>
      </w:r>
      <w:proofErr w:type="spellStart"/>
      <w:r>
        <w:rPr>
          <w:i/>
          <w:iCs/>
        </w:rPr>
        <w:t>Rehabil</w:t>
      </w:r>
      <w:proofErr w:type="spellEnd"/>
      <w:r>
        <w:t>. 2024;46(21):5114-5133. doi:10.1080/09638288.2023.2291732.</w:t>
      </w:r>
    </w:p>
    <w:p w14:paraId="26A38611" w14:textId="77777777" w:rsidR="00555FCD" w:rsidRDefault="00555FCD">
      <w:pPr>
        <w:pStyle w:val="APAReferenceList"/>
        <w:rPr>
          <w:szCs w:val="24"/>
        </w:rPr>
      </w:pPr>
      <w:r>
        <w:t xml:space="preserve">4. Dada S, May A, Bastable K, Samuels A, Tonsing K, Wilder J, et al. The involvement matrix as a framework for involving youth with severe communication disabilities in developing health education materials. </w:t>
      </w:r>
      <w:r>
        <w:rPr>
          <w:i/>
          <w:iCs/>
        </w:rPr>
        <w:t>Health Expect</w:t>
      </w:r>
      <w:r>
        <w:t>. 2022;25(3):1004-1015. doi:10.1111/hex.13445.</w:t>
      </w:r>
    </w:p>
    <w:p w14:paraId="0D6B452B" w14:textId="77777777" w:rsidR="00555FCD" w:rsidRDefault="00555FCD">
      <w:pPr>
        <w:pStyle w:val="APAReferenceList"/>
        <w:rPr>
          <w:szCs w:val="24"/>
        </w:rPr>
      </w:pPr>
      <w:r>
        <w:t xml:space="preserve">5. Dolmage J. </w:t>
      </w:r>
      <w:r>
        <w:rPr>
          <w:i/>
          <w:iCs/>
        </w:rPr>
        <w:t>Academic ableism: Disability and higher education</w:t>
      </w:r>
      <w:r>
        <w:t>. Ann Arbor (MI): University of Michigan Press; 2017.</w:t>
      </w:r>
    </w:p>
    <w:p w14:paraId="1BAABDDA" w14:textId="77777777" w:rsidR="00555FCD" w:rsidRDefault="00555FCD">
      <w:pPr>
        <w:pStyle w:val="APAReferenceList"/>
        <w:rPr>
          <w:szCs w:val="24"/>
        </w:rPr>
      </w:pPr>
      <w:r>
        <w:t xml:space="preserve">6. </w:t>
      </w:r>
      <w:proofErr w:type="spellStart"/>
      <w:r>
        <w:t>Gjermestad</w:t>
      </w:r>
      <w:proofErr w:type="spellEnd"/>
      <w:r>
        <w:t xml:space="preserve"> A, </w:t>
      </w:r>
      <w:proofErr w:type="spellStart"/>
      <w:r>
        <w:t>Skarsaune</w:t>
      </w:r>
      <w:proofErr w:type="spellEnd"/>
      <w:r>
        <w:t xml:space="preserve"> SN, Bartlett RL. Advancing inclusive research with people with profound and multiple learning disabilities through a sensory-dialogical approach. </w:t>
      </w:r>
      <w:r>
        <w:rPr>
          <w:i/>
          <w:iCs/>
        </w:rPr>
        <w:t xml:space="preserve">J Intellect </w:t>
      </w:r>
      <w:proofErr w:type="spellStart"/>
      <w:r>
        <w:rPr>
          <w:i/>
          <w:iCs/>
        </w:rPr>
        <w:t>Disabil</w:t>
      </w:r>
      <w:proofErr w:type="spellEnd"/>
      <w:r>
        <w:t>. 2023;27(1):40-53. doi:10.1177/17446295211062390.</w:t>
      </w:r>
    </w:p>
    <w:p w14:paraId="11B6686C" w14:textId="77777777" w:rsidR="00555FCD" w:rsidRDefault="00555FCD">
      <w:pPr>
        <w:pStyle w:val="APAReferenceList"/>
        <w:rPr>
          <w:szCs w:val="24"/>
        </w:rPr>
      </w:pPr>
      <w:r>
        <w:t xml:space="preserve">7. </w:t>
      </w:r>
      <w:proofErr w:type="spellStart"/>
      <w:r>
        <w:t>Hamraie</w:t>
      </w:r>
      <w:proofErr w:type="spellEnd"/>
      <w:r>
        <w:t xml:space="preserve"> A. </w:t>
      </w:r>
      <w:r>
        <w:rPr>
          <w:i/>
          <w:iCs/>
        </w:rPr>
        <w:t>Building access: Universal design and the politics of disability</w:t>
      </w:r>
      <w:r>
        <w:t>. Minneapolis (MN): University of Minnesota Press; 2017.</w:t>
      </w:r>
    </w:p>
    <w:p w14:paraId="157A3288" w14:textId="77777777" w:rsidR="00555FCD" w:rsidRDefault="00555FCD">
      <w:pPr>
        <w:pStyle w:val="APAReferenceList"/>
        <w:rPr>
          <w:szCs w:val="24"/>
        </w:rPr>
      </w:pPr>
      <w:r>
        <w:t xml:space="preserve">8. Jimoh OF, Ryan H, Killett A, </w:t>
      </w:r>
      <w:proofErr w:type="spellStart"/>
      <w:r>
        <w:t>Shiggins</w:t>
      </w:r>
      <w:proofErr w:type="spellEnd"/>
      <w:r>
        <w:t xml:space="preserve"> C, Langdon PE, Heywood R, et al. A systematic review and narrative synthesis of the research provisions under the Mental Capacity Act (2005) in England and Wales: Recruitment of adults with capacity and communication difficulties. </w:t>
      </w:r>
      <w:r>
        <w:rPr>
          <w:i/>
          <w:iCs/>
        </w:rPr>
        <w:t>PLOS One</w:t>
      </w:r>
      <w:r>
        <w:t>. 2021;16(9</w:t>
      </w:r>
      <w:proofErr w:type="gramStart"/>
      <w:r>
        <w:t>):e</w:t>
      </w:r>
      <w:proofErr w:type="gramEnd"/>
      <w:r>
        <w:t xml:space="preserve">0256697. </w:t>
      </w:r>
      <w:proofErr w:type="gramStart"/>
      <w:r>
        <w:t>doi:10.1371/journal.pone</w:t>
      </w:r>
      <w:proofErr w:type="gramEnd"/>
      <w:r>
        <w:t>.0256697.</w:t>
      </w:r>
    </w:p>
    <w:p w14:paraId="3F0D0F1E" w14:textId="77777777" w:rsidR="00555FCD" w:rsidRDefault="00555FCD">
      <w:pPr>
        <w:pStyle w:val="APAReferenceList"/>
        <w:rPr>
          <w:szCs w:val="24"/>
        </w:rPr>
      </w:pPr>
      <w:r>
        <w:t xml:space="preserve">9. Rios D, Magasi S, Novak C, </w:t>
      </w:r>
      <w:proofErr w:type="spellStart"/>
      <w:r>
        <w:t>Harniss</w:t>
      </w:r>
      <w:proofErr w:type="spellEnd"/>
      <w:r>
        <w:t xml:space="preserve"> M. Conducting accessible research: Including people with disabilities in public health, epidemiological, and outcomes studies. </w:t>
      </w:r>
      <w:r>
        <w:rPr>
          <w:i/>
          <w:iCs/>
        </w:rPr>
        <w:t>Am J Public Health</w:t>
      </w:r>
      <w:r>
        <w:t>. 2016;106(12):2137-2144. doi:10.2105/AJPH.2016.303448.</w:t>
      </w:r>
    </w:p>
    <w:p w14:paraId="6B91D6FA" w14:textId="77777777" w:rsidR="007415AD" w:rsidRDefault="007415AD" w:rsidP="006109FD"/>
    <w:sectPr w:rsidR="007415AD">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A071" w14:textId="77777777" w:rsidR="00004C39" w:rsidRDefault="00004C39" w:rsidP="0010210D">
      <w:pPr>
        <w:spacing w:after="0" w:line="240" w:lineRule="auto"/>
      </w:pPr>
      <w:r>
        <w:separator/>
      </w:r>
    </w:p>
  </w:endnote>
  <w:endnote w:type="continuationSeparator" w:id="0">
    <w:p w14:paraId="10865924" w14:textId="77777777" w:rsidR="00004C39" w:rsidRDefault="00004C39" w:rsidP="0010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BD05" w14:textId="387EE3EC" w:rsidR="0010210D" w:rsidRDefault="0010210D">
    <w:pPr>
      <w:pStyle w:val="Footer"/>
    </w:pPr>
    <w:r>
      <w:rPr>
        <w:noProof/>
      </w:rPr>
      <w:drawing>
        <wp:inline distT="0" distB="0" distL="0" distR="0" wp14:anchorId="12016473" wp14:editId="0FB0884E">
          <wp:extent cx="5271468" cy="534469"/>
          <wp:effectExtent l="0" t="0" r="0" b="0"/>
          <wp:docPr id="701932101" name="Picture 1" descr="Funded by government of Canada and Canda logo with maple leaf above the last letter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32101" name="Picture 1" descr="Funded by government of Canada and Canda logo with maple leaf above the last letter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847" cy="539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5329" w14:textId="77777777" w:rsidR="00004C39" w:rsidRDefault="00004C39" w:rsidP="0010210D">
      <w:pPr>
        <w:spacing w:after="0" w:line="240" w:lineRule="auto"/>
      </w:pPr>
      <w:r>
        <w:separator/>
      </w:r>
    </w:p>
  </w:footnote>
  <w:footnote w:type="continuationSeparator" w:id="0">
    <w:p w14:paraId="2043AB26" w14:textId="77777777" w:rsidR="00004C39" w:rsidRDefault="00004C39" w:rsidP="00102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97E6" w14:textId="46705660" w:rsidR="0010210D" w:rsidRDefault="00045EEB" w:rsidP="00911633">
    <w:pPr>
      <w:pStyle w:val="Header"/>
      <w:ind w:firstLine="0"/>
    </w:pPr>
    <w:r>
      <w:rPr>
        <w:noProof/>
      </w:rPr>
      <w:drawing>
        <wp:inline distT="0" distB="0" distL="0" distR="0" wp14:anchorId="5EAE74F1" wp14:editId="610F1219">
          <wp:extent cx="1981281" cy="610235"/>
          <wp:effectExtent l="0" t="0" r="0" b="0"/>
          <wp:docPr id="1803246708" name="Picture 4" descr="CNIB Group Logo with red maple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46708" name="Picture 4" descr="CNIB Group Logo with red maple leaf"/>
                  <pic:cNvPicPr/>
                </pic:nvPicPr>
                <pic:blipFill>
                  <a:blip r:embed="rId1">
                    <a:extLst>
                      <a:ext uri="{28A0092B-C50C-407E-A947-70E740481C1C}">
                        <a14:useLocalDpi xmlns:a14="http://schemas.microsoft.com/office/drawing/2010/main" val="0"/>
                      </a:ext>
                    </a:extLst>
                  </a:blip>
                  <a:stretch>
                    <a:fillRect/>
                  </a:stretch>
                </pic:blipFill>
                <pic:spPr>
                  <a:xfrm>
                    <a:off x="0" y="0"/>
                    <a:ext cx="1994038" cy="614164"/>
                  </a:xfrm>
                  <a:prstGeom prst="rect">
                    <a:avLst/>
                  </a:prstGeom>
                </pic:spPr>
              </pic:pic>
            </a:graphicData>
          </a:graphic>
        </wp:inline>
      </w:drawing>
    </w:r>
    <w:r w:rsidR="00094860">
      <w:rPr>
        <w:noProof/>
      </w:rPr>
      <w:drawing>
        <wp:inline distT="0" distB="0" distL="0" distR="0" wp14:anchorId="357608AC" wp14:editId="4415788E">
          <wp:extent cx="3505200" cy="609388"/>
          <wp:effectExtent l="0" t="0" r="0" b="0"/>
          <wp:docPr id="636682947" name="Picture 6" descr="Black Canadian flag with accessibility standards canada on the left of th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82947" name="Picture 6" descr="Black Canadian flag with accessibility standards canada on the left of the flag."/>
                  <pic:cNvPicPr/>
                </pic:nvPicPr>
                <pic:blipFill>
                  <a:blip r:embed="rId2">
                    <a:extLst>
                      <a:ext uri="{28A0092B-C50C-407E-A947-70E740481C1C}">
                        <a14:useLocalDpi xmlns:a14="http://schemas.microsoft.com/office/drawing/2010/main" val="0"/>
                      </a:ext>
                    </a:extLst>
                  </a:blip>
                  <a:stretch>
                    <a:fillRect/>
                  </a:stretch>
                </pic:blipFill>
                <pic:spPr>
                  <a:xfrm>
                    <a:off x="0" y="0"/>
                    <a:ext cx="3525173" cy="612860"/>
                  </a:xfrm>
                  <a:prstGeom prst="rect">
                    <a:avLst/>
                  </a:prstGeom>
                </pic:spPr>
              </pic:pic>
            </a:graphicData>
          </a:graphic>
        </wp:inline>
      </w:drawing>
    </w:r>
  </w:p>
  <w:p w14:paraId="4C7817F8" w14:textId="77777777" w:rsidR="00911633" w:rsidRDefault="00911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8F0"/>
    <w:multiLevelType w:val="multilevel"/>
    <w:tmpl w:val="52A2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5569"/>
    <w:multiLevelType w:val="multilevel"/>
    <w:tmpl w:val="D9E4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80E2C"/>
    <w:multiLevelType w:val="multilevel"/>
    <w:tmpl w:val="C120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468EB"/>
    <w:multiLevelType w:val="multilevel"/>
    <w:tmpl w:val="876E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25DD4"/>
    <w:multiLevelType w:val="multilevel"/>
    <w:tmpl w:val="988E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B1941"/>
    <w:multiLevelType w:val="multilevel"/>
    <w:tmpl w:val="1BD2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A5858"/>
    <w:multiLevelType w:val="multilevel"/>
    <w:tmpl w:val="DE0E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27775"/>
    <w:multiLevelType w:val="multilevel"/>
    <w:tmpl w:val="46E4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95D30"/>
    <w:multiLevelType w:val="multilevel"/>
    <w:tmpl w:val="67F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A37A2"/>
    <w:multiLevelType w:val="multilevel"/>
    <w:tmpl w:val="1E2E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F4745"/>
    <w:multiLevelType w:val="multilevel"/>
    <w:tmpl w:val="BCD6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693714"/>
    <w:multiLevelType w:val="multilevel"/>
    <w:tmpl w:val="68E2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BF331E"/>
    <w:multiLevelType w:val="multilevel"/>
    <w:tmpl w:val="676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F77D87"/>
    <w:multiLevelType w:val="multilevel"/>
    <w:tmpl w:val="016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F7DA2"/>
    <w:multiLevelType w:val="hybridMultilevel"/>
    <w:tmpl w:val="2B40C4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19E0582A"/>
    <w:multiLevelType w:val="multilevel"/>
    <w:tmpl w:val="F470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D72E12"/>
    <w:multiLevelType w:val="multilevel"/>
    <w:tmpl w:val="5F4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A279C1"/>
    <w:multiLevelType w:val="multilevel"/>
    <w:tmpl w:val="588EA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AD2F15"/>
    <w:multiLevelType w:val="multilevel"/>
    <w:tmpl w:val="FA42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BA5352"/>
    <w:multiLevelType w:val="multilevel"/>
    <w:tmpl w:val="5C60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1D2C90"/>
    <w:multiLevelType w:val="multilevel"/>
    <w:tmpl w:val="7DC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305124"/>
    <w:multiLevelType w:val="multilevel"/>
    <w:tmpl w:val="53D2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175470"/>
    <w:multiLevelType w:val="multilevel"/>
    <w:tmpl w:val="3F02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1A45CA"/>
    <w:multiLevelType w:val="multilevel"/>
    <w:tmpl w:val="2F54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633486"/>
    <w:multiLevelType w:val="multilevel"/>
    <w:tmpl w:val="8E6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F32C68"/>
    <w:multiLevelType w:val="hybridMultilevel"/>
    <w:tmpl w:val="78C0D9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2A85669D"/>
    <w:multiLevelType w:val="multilevel"/>
    <w:tmpl w:val="C00A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D914D3"/>
    <w:multiLevelType w:val="multilevel"/>
    <w:tmpl w:val="0B1C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B90115"/>
    <w:multiLevelType w:val="multilevel"/>
    <w:tmpl w:val="4B52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92241E"/>
    <w:multiLevelType w:val="multilevel"/>
    <w:tmpl w:val="B2B0A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3E54D8"/>
    <w:multiLevelType w:val="multilevel"/>
    <w:tmpl w:val="64DA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4C7B81"/>
    <w:multiLevelType w:val="multilevel"/>
    <w:tmpl w:val="A1A4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7C7925"/>
    <w:multiLevelType w:val="multilevel"/>
    <w:tmpl w:val="9B18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8F5D48"/>
    <w:multiLevelType w:val="multilevel"/>
    <w:tmpl w:val="CDA0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A93A4E"/>
    <w:multiLevelType w:val="multilevel"/>
    <w:tmpl w:val="1820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D53904"/>
    <w:multiLevelType w:val="multilevel"/>
    <w:tmpl w:val="383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895E83"/>
    <w:multiLevelType w:val="multilevel"/>
    <w:tmpl w:val="222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DE26AD"/>
    <w:multiLevelType w:val="multilevel"/>
    <w:tmpl w:val="E72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130382"/>
    <w:multiLevelType w:val="multilevel"/>
    <w:tmpl w:val="6F62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7B1287"/>
    <w:multiLevelType w:val="multilevel"/>
    <w:tmpl w:val="E294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9E448A"/>
    <w:multiLevelType w:val="multilevel"/>
    <w:tmpl w:val="69D2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E80A6A"/>
    <w:multiLevelType w:val="multilevel"/>
    <w:tmpl w:val="5BBE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5206A7"/>
    <w:multiLevelType w:val="multilevel"/>
    <w:tmpl w:val="B19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DE0801"/>
    <w:multiLevelType w:val="multilevel"/>
    <w:tmpl w:val="5FD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A462D1"/>
    <w:multiLevelType w:val="multilevel"/>
    <w:tmpl w:val="6D9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D84CD0"/>
    <w:multiLevelType w:val="multilevel"/>
    <w:tmpl w:val="311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6A0190"/>
    <w:multiLevelType w:val="multilevel"/>
    <w:tmpl w:val="25DC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2D430D"/>
    <w:multiLevelType w:val="multilevel"/>
    <w:tmpl w:val="082C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8C684A"/>
    <w:multiLevelType w:val="multilevel"/>
    <w:tmpl w:val="5D56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32361A"/>
    <w:multiLevelType w:val="multilevel"/>
    <w:tmpl w:val="9C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8A5D0A"/>
    <w:multiLevelType w:val="multilevel"/>
    <w:tmpl w:val="2836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C21EA0"/>
    <w:multiLevelType w:val="multilevel"/>
    <w:tmpl w:val="3CCE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005611"/>
    <w:multiLevelType w:val="multilevel"/>
    <w:tmpl w:val="22AA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BC2016"/>
    <w:multiLevelType w:val="multilevel"/>
    <w:tmpl w:val="595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D526DE"/>
    <w:multiLevelType w:val="multilevel"/>
    <w:tmpl w:val="91E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ED462E"/>
    <w:multiLevelType w:val="multilevel"/>
    <w:tmpl w:val="3CA0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E195705"/>
    <w:multiLevelType w:val="multilevel"/>
    <w:tmpl w:val="56B8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C7386E"/>
    <w:multiLevelType w:val="multilevel"/>
    <w:tmpl w:val="357C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115251"/>
    <w:multiLevelType w:val="multilevel"/>
    <w:tmpl w:val="86D4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137B7E"/>
    <w:multiLevelType w:val="multilevel"/>
    <w:tmpl w:val="D126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212FFA"/>
    <w:multiLevelType w:val="multilevel"/>
    <w:tmpl w:val="A124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FB50E4"/>
    <w:multiLevelType w:val="multilevel"/>
    <w:tmpl w:val="2260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256386"/>
    <w:multiLevelType w:val="multilevel"/>
    <w:tmpl w:val="B4CA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38204F"/>
    <w:multiLevelType w:val="multilevel"/>
    <w:tmpl w:val="7C3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52790B"/>
    <w:multiLevelType w:val="multilevel"/>
    <w:tmpl w:val="DE82A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CC5694"/>
    <w:multiLevelType w:val="multilevel"/>
    <w:tmpl w:val="7D5C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583725"/>
    <w:multiLevelType w:val="multilevel"/>
    <w:tmpl w:val="9B26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4C45FB"/>
    <w:multiLevelType w:val="multilevel"/>
    <w:tmpl w:val="0616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0877F5"/>
    <w:multiLevelType w:val="multilevel"/>
    <w:tmpl w:val="8C7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A05A09"/>
    <w:multiLevelType w:val="multilevel"/>
    <w:tmpl w:val="B460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08D5A45"/>
    <w:multiLevelType w:val="multilevel"/>
    <w:tmpl w:val="8D96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3017C3"/>
    <w:multiLevelType w:val="multilevel"/>
    <w:tmpl w:val="B748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411920"/>
    <w:multiLevelType w:val="multilevel"/>
    <w:tmpl w:val="33E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82089A"/>
    <w:multiLevelType w:val="multilevel"/>
    <w:tmpl w:val="6472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8E5C69"/>
    <w:multiLevelType w:val="multilevel"/>
    <w:tmpl w:val="F54E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D54979"/>
    <w:multiLevelType w:val="multilevel"/>
    <w:tmpl w:val="C12E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2F502F"/>
    <w:multiLevelType w:val="multilevel"/>
    <w:tmpl w:val="E1BA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E8C2E29"/>
    <w:multiLevelType w:val="multilevel"/>
    <w:tmpl w:val="12C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D90F5A"/>
    <w:multiLevelType w:val="multilevel"/>
    <w:tmpl w:val="2CF0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785579"/>
    <w:multiLevelType w:val="multilevel"/>
    <w:tmpl w:val="6FB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E065FF"/>
    <w:multiLevelType w:val="multilevel"/>
    <w:tmpl w:val="4D9C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E34A91"/>
    <w:multiLevelType w:val="multilevel"/>
    <w:tmpl w:val="C682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9E5024"/>
    <w:multiLevelType w:val="multilevel"/>
    <w:tmpl w:val="7D3A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AF5D46"/>
    <w:multiLevelType w:val="multilevel"/>
    <w:tmpl w:val="2FB8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6B0FA9"/>
    <w:multiLevelType w:val="multilevel"/>
    <w:tmpl w:val="E87A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9F0FAF"/>
    <w:multiLevelType w:val="multilevel"/>
    <w:tmpl w:val="99D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B127F8"/>
    <w:multiLevelType w:val="multilevel"/>
    <w:tmpl w:val="1EAC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9A2930"/>
    <w:multiLevelType w:val="multilevel"/>
    <w:tmpl w:val="A88E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4924FC"/>
    <w:multiLevelType w:val="multilevel"/>
    <w:tmpl w:val="1216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770268"/>
    <w:multiLevelType w:val="multilevel"/>
    <w:tmpl w:val="1214E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D32D27"/>
    <w:multiLevelType w:val="multilevel"/>
    <w:tmpl w:val="DA56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A80035"/>
    <w:multiLevelType w:val="multilevel"/>
    <w:tmpl w:val="4336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CDC4C7E"/>
    <w:multiLevelType w:val="multilevel"/>
    <w:tmpl w:val="7F62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870943"/>
    <w:multiLevelType w:val="multilevel"/>
    <w:tmpl w:val="1BE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582BFA"/>
    <w:multiLevelType w:val="multilevel"/>
    <w:tmpl w:val="8C6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247256">
    <w:abstractNumId w:val="29"/>
  </w:num>
  <w:num w:numId="2" w16cid:durableId="500050686">
    <w:abstractNumId w:val="30"/>
  </w:num>
  <w:num w:numId="3" w16cid:durableId="52049983">
    <w:abstractNumId w:val="1"/>
  </w:num>
  <w:num w:numId="4" w16cid:durableId="2126734783">
    <w:abstractNumId w:val="50"/>
  </w:num>
  <w:num w:numId="5" w16cid:durableId="474571416">
    <w:abstractNumId w:val="83"/>
  </w:num>
  <w:num w:numId="6" w16cid:durableId="823814804">
    <w:abstractNumId w:val="84"/>
  </w:num>
  <w:num w:numId="7" w16cid:durableId="673186640">
    <w:abstractNumId w:val="90"/>
  </w:num>
  <w:num w:numId="8" w16cid:durableId="1246452866">
    <w:abstractNumId w:val="88"/>
  </w:num>
  <w:num w:numId="9" w16cid:durableId="273680838">
    <w:abstractNumId w:val="80"/>
  </w:num>
  <w:num w:numId="10" w16cid:durableId="1138305256">
    <w:abstractNumId w:val="8"/>
  </w:num>
  <w:num w:numId="11" w16cid:durableId="560018757">
    <w:abstractNumId w:val="6"/>
  </w:num>
  <w:num w:numId="12" w16cid:durableId="1013798667">
    <w:abstractNumId w:val="65"/>
  </w:num>
  <w:num w:numId="13" w16cid:durableId="903417281">
    <w:abstractNumId w:val="11"/>
  </w:num>
  <w:num w:numId="14" w16cid:durableId="646588845">
    <w:abstractNumId w:val="73"/>
  </w:num>
  <w:num w:numId="15" w16cid:durableId="2025282417">
    <w:abstractNumId w:val="7"/>
  </w:num>
  <w:num w:numId="16" w16cid:durableId="868881179">
    <w:abstractNumId w:val="43"/>
  </w:num>
  <w:num w:numId="17" w16cid:durableId="1697001006">
    <w:abstractNumId w:val="60"/>
  </w:num>
  <w:num w:numId="18" w16cid:durableId="1417945326">
    <w:abstractNumId w:val="23"/>
  </w:num>
  <w:num w:numId="19" w16cid:durableId="1828788549">
    <w:abstractNumId w:val="91"/>
  </w:num>
  <w:num w:numId="20" w16cid:durableId="1361315880">
    <w:abstractNumId w:val="66"/>
  </w:num>
  <w:num w:numId="21" w16cid:durableId="247347448">
    <w:abstractNumId w:val="5"/>
  </w:num>
  <w:num w:numId="22" w16cid:durableId="1301615120">
    <w:abstractNumId w:val="49"/>
  </w:num>
  <w:num w:numId="23" w16cid:durableId="208420005">
    <w:abstractNumId w:val="53"/>
  </w:num>
  <w:num w:numId="24" w16cid:durableId="452093284">
    <w:abstractNumId w:val="54"/>
  </w:num>
  <w:num w:numId="25" w16cid:durableId="2106920065">
    <w:abstractNumId w:val="24"/>
  </w:num>
  <w:num w:numId="26" w16cid:durableId="184100831">
    <w:abstractNumId w:val="55"/>
  </w:num>
  <w:num w:numId="27" w16cid:durableId="1557425933">
    <w:abstractNumId w:val="33"/>
  </w:num>
  <w:num w:numId="28" w16cid:durableId="182327287">
    <w:abstractNumId w:val="25"/>
  </w:num>
  <w:num w:numId="29" w16cid:durableId="1707559159">
    <w:abstractNumId w:val="93"/>
  </w:num>
  <w:num w:numId="30" w16cid:durableId="842626960">
    <w:abstractNumId w:val="64"/>
  </w:num>
  <w:num w:numId="31" w16cid:durableId="1455904404">
    <w:abstractNumId w:val="18"/>
  </w:num>
  <w:num w:numId="32" w16cid:durableId="1533375179">
    <w:abstractNumId w:val="38"/>
  </w:num>
  <w:num w:numId="33" w16cid:durableId="688529123">
    <w:abstractNumId w:val="13"/>
  </w:num>
  <w:num w:numId="34" w16cid:durableId="2081901347">
    <w:abstractNumId w:val="19"/>
  </w:num>
  <w:num w:numId="35" w16cid:durableId="771586681">
    <w:abstractNumId w:val="46"/>
  </w:num>
  <w:num w:numId="36" w16cid:durableId="237177303">
    <w:abstractNumId w:val="36"/>
  </w:num>
  <w:num w:numId="37" w16cid:durableId="2021199903">
    <w:abstractNumId w:val="0"/>
  </w:num>
  <w:num w:numId="38" w16cid:durableId="918174503">
    <w:abstractNumId w:val="47"/>
  </w:num>
  <w:num w:numId="39" w16cid:durableId="644891151">
    <w:abstractNumId w:val="61"/>
  </w:num>
  <w:num w:numId="40" w16cid:durableId="1024330000">
    <w:abstractNumId w:val="16"/>
  </w:num>
  <w:num w:numId="41" w16cid:durableId="691803960">
    <w:abstractNumId w:val="37"/>
  </w:num>
  <w:num w:numId="42" w16cid:durableId="212348914">
    <w:abstractNumId w:val="12"/>
  </w:num>
  <w:num w:numId="43" w16cid:durableId="1879048199">
    <w:abstractNumId w:val="56"/>
  </w:num>
  <w:num w:numId="44" w16cid:durableId="351540179">
    <w:abstractNumId w:val="26"/>
  </w:num>
  <w:num w:numId="45" w16cid:durableId="539048168">
    <w:abstractNumId w:val="28"/>
  </w:num>
  <w:num w:numId="46" w16cid:durableId="1686322481">
    <w:abstractNumId w:val="63"/>
  </w:num>
  <w:num w:numId="47" w16cid:durableId="1263759259">
    <w:abstractNumId w:val="69"/>
  </w:num>
  <w:num w:numId="48" w16cid:durableId="254673785">
    <w:abstractNumId w:val="82"/>
  </w:num>
  <w:num w:numId="49" w16cid:durableId="1201673806">
    <w:abstractNumId w:val="52"/>
  </w:num>
  <w:num w:numId="50" w16cid:durableId="84151819">
    <w:abstractNumId w:val="58"/>
  </w:num>
  <w:num w:numId="51" w16cid:durableId="1792816397">
    <w:abstractNumId w:val="34"/>
  </w:num>
  <w:num w:numId="52" w16cid:durableId="2105494587">
    <w:abstractNumId w:val="4"/>
  </w:num>
  <w:num w:numId="53" w16cid:durableId="1745371861">
    <w:abstractNumId w:val="20"/>
  </w:num>
  <w:num w:numId="54" w16cid:durableId="1570536015">
    <w:abstractNumId w:val="62"/>
  </w:num>
  <w:num w:numId="55" w16cid:durableId="1757746968">
    <w:abstractNumId w:val="78"/>
  </w:num>
  <w:num w:numId="56" w16cid:durableId="769548821">
    <w:abstractNumId w:val="77"/>
  </w:num>
  <w:num w:numId="57" w16cid:durableId="1604070515">
    <w:abstractNumId w:val="81"/>
  </w:num>
  <w:num w:numId="58" w16cid:durableId="1798330779">
    <w:abstractNumId w:val="51"/>
  </w:num>
  <w:num w:numId="59" w16cid:durableId="534076293">
    <w:abstractNumId w:val="9"/>
  </w:num>
  <w:num w:numId="60" w16cid:durableId="606499782">
    <w:abstractNumId w:val="68"/>
  </w:num>
  <w:num w:numId="61" w16cid:durableId="1482042015">
    <w:abstractNumId w:val="21"/>
  </w:num>
  <w:num w:numId="62" w16cid:durableId="1362440279">
    <w:abstractNumId w:val="17"/>
  </w:num>
  <w:num w:numId="63" w16cid:durableId="1533836759">
    <w:abstractNumId w:val="87"/>
  </w:num>
  <w:num w:numId="64" w16cid:durableId="1352563394">
    <w:abstractNumId w:val="15"/>
  </w:num>
  <w:num w:numId="65" w16cid:durableId="101846548">
    <w:abstractNumId w:val="31"/>
  </w:num>
  <w:num w:numId="66" w16cid:durableId="53623807">
    <w:abstractNumId w:val="85"/>
  </w:num>
  <w:num w:numId="67" w16cid:durableId="1456673473">
    <w:abstractNumId w:val="39"/>
  </w:num>
  <w:num w:numId="68" w16cid:durableId="334305772">
    <w:abstractNumId w:val="71"/>
  </w:num>
  <w:num w:numId="69" w16cid:durableId="201871823">
    <w:abstractNumId w:val="3"/>
  </w:num>
  <w:num w:numId="70" w16cid:durableId="1664579355">
    <w:abstractNumId w:val="76"/>
  </w:num>
  <w:num w:numId="71" w16cid:durableId="378743008">
    <w:abstractNumId w:val="79"/>
  </w:num>
  <w:num w:numId="72" w16cid:durableId="346370711">
    <w:abstractNumId w:val="48"/>
  </w:num>
  <w:num w:numId="73" w16cid:durableId="2130270582">
    <w:abstractNumId w:val="86"/>
  </w:num>
  <w:num w:numId="74" w16cid:durableId="1288973249">
    <w:abstractNumId w:val="40"/>
  </w:num>
  <w:num w:numId="75" w16cid:durableId="874122529">
    <w:abstractNumId w:val="27"/>
  </w:num>
  <w:num w:numId="76" w16cid:durableId="1521428538">
    <w:abstractNumId w:val="2"/>
  </w:num>
  <w:num w:numId="77" w16cid:durableId="1742486651">
    <w:abstractNumId w:val="44"/>
  </w:num>
  <w:num w:numId="78" w16cid:durableId="1698578763">
    <w:abstractNumId w:val="94"/>
  </w:num>
  <w:num w:numId="79" w16cid:durableId="337466603">
    <w:abstractNumId w:val="92"/>
  </w:num>
  <w:num w:numId="80" w16cid:durableId="1206480233">
    <w:abstractNumId w:val="67"/>
  </w:num>
  <w:num w:numId="81" w16cid:durableId="849560637">
    <w:abstractNumId w:val="42"/>
  </w:num>
  <w:num w:numId="82" w16cid:durableId="2132821686">
    <w:abstractNumId w:val="32"/>
  </w:num>
  <w:num w:numId="83" w16cid:durableId="1586067377">
    <w:abstractNumId w:val="59"/>
  </w:num>
  <w:num w:numId="84" w16cid:durableId="810831065">
    <w:abstractNumId w:val="57"/>
  </w:num>
  <w:num w:numId="85" w16cid:durableId="1210334893">
    <w:abstractNumId w:val="89"/>
  </w:num>
  <w:num w:numId="86" w16cid:durableId="1420174972">
    <w:abstractNumId w:val="74"/>
  </w:num>
  <w:num w:numId="87" w16cid:durableId="164639469">
    <w:abstractNumId w:val="72"/>
  </w:num>
  <w:num w:numId="88" w16cid:durableId="391461685">
    <w:abstractNumId w:val="75"/>
  </w:num>
  <w:num w:numId="89" w16cid:durableId="1431658442">
    <w:abstractNumId w:val="10"/>
  </w:num>
  <w:num w:numId="90" w16cid:durableId="1165125237">
    <w:abstractNumId w:val="35"/>
  </w:num>
  <w:num w:numId="91" w16cid:durableId="523831423">
    <w:abstractNumId w:val="70"/>
  </w:num>
  <w:num w:numId="92" w16cid:durableId="1891769862">
    <w:abstractNumId w:val="41"/>
  </w:num>
  <w:num w:numId="93" w16cid:durableId="1275331187">
    <w:abstractNumId w:val="45"/>
  </w:num>
  <w:num w:numId="94" w16cid:durableId="792482768">
    <w:abstractNumId w:val="22"/>
  </w:num>
  <w:num w:numId="95" w16cid:durableId="319844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formatting="1" w:enforcement="1" w:cryptProviderType="rsaAES" w:cryptAlgorithmClass="hash" w:cryptAlgorithmType="typeAny" w:cryptAlgorithmSid="14" w:cryptSpinCount="100000" w:hash="jCG96eED7IWD2v4mWTeP/tVl743+oNEHXHDmuipyPMq8q8fka8mSdKCGYG/cXY7MQlInIe1m7CCQU/W9qMpvtQ==" w:salt="7D/bJIbSvnHafZ+5A/OS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87"/>
    <w:rsid w:val="00004C39"/>
    <w:rsid w:val="000103D6"/>
    <w:rsid w:val="00022E33"/>
    <w:rsid w:val="00045EEB"/>
    <w:rsid w:val="00053835"/>
    <w:rsid w:val="000643CE"/>
    <w:rsid w:val="000767AD"/>
    <w:rsid w:val="0008282A"/>
    <w:rsid w:val="00094860"/>
    <w:rsid w:val="000B710C"/>
    <w:rsid w:val="0010210D"/>
    <w:rsid w:val="00131DEB"/>
    <w:rsid w:val="00153256"/>
    <w:rsid w:val="0015602D"/>
    <w:rsid w:val="00180F3B"/>
    <w:rsid w:val="001A4802"/>
    <w:rsid w:val="001B3E02"/>
    <w:rsid w:val="001C397F"/>
    <w:rsid w:val="001D7F1E"/>
    <w:rsid w:val="00261580"/>
    <w:rsid w:val="00262BA3"/>
    <w:rsid w:val="00283494"/>
    <w:rsid w:val="002A1F35"/>
    <w:rsid w:val="002B0909"/>
    <w:rsid w:val="002D4FE0"/>
    <w:rsid w:val="002E2E13"/>
    <w:rsid w:val="00360D1A"/>
    <w:rsid w:val="00362E2F"/>
    <w:rsid w:val="003F1046"/>
    <w:rsid w:val="00424349"/>
    <w:rsid w:val="00450F03"/>
    <w:rsid w:val="00460C3E"/>
    <w:rsid w:val="004846AA"/>
    <w:rsid w:val="00502A2B"/>
    <w:rsid w:val="00505F03"/>
    <w:rsid w:val="00507C1B"/>
    <w:rsid w:val="00555FCD"/>
    <w:rsid w:val="005560B1"/>
    <w:rsid w:val="0057481E"/>
    <w:rsid w:val="005E0735"/>
    <w:rsid w:val="006109FD"/>
    <w:rsid w:val="006124C0"/>
    <w:rsid w:val="00633C7C"/>
    <w:rsid w:val="0067290B"/>
    <w:rsid w:val="00675288"/>
    <w:rsid w:val="00692FC7"/>
    <w:rsid w:val="006A5CFB"/>
    <w:rsid w:val="006D003D"/>
    <w:rsid w:val="006E5EDC"/>
    <w:rsid w:val="00703295"/>
    <w:rsid w:val="0070490F"/>
    <w:rsid w:val="007108EE"/>
    <w:rsid w:val="00713E9E"/>
    <w:rsid w:val="00717D9C"/>
    <w:rsid w:val="007243BD"/>
    <w:rsid w:val="00730907"/>
    <w:rsid w:val="00733BD2"/>
    <w:rsid w:val="00736876"/>
    <w:rsid w:val="007415AD"/>
    <w:rsid w:val="00753A20"/>
    <w:rsid w:val="00754D14"/>
    <w:rsid w:val="00783E06"/>
    <w:rsid w:val="00786A8D"/>
    <w:rsid w:val="007B5436"/>
    <w:rsid w:val="007D2BAF"/>
    <w:rsid w:val="007F459D"/>
    <w:rsid w:val="007F56E9"/>
    <w:rsid w:val="0084549D"/>
    <w:rsid w:val="00845918"/>
    <w:rsid w:val="00890DDC"/>
    <w:rsid w:val="00911633"/>
    <w:rsid w:val="00943787"/>
    <w:rsid w:val="00951FD1"/>
    <w:rsid w:val="00961C2B"/>
    <w:rsid w:val="009722C2"/>
    <w:rsid w:val="00983F43"/>
    <w:rsid w:val="00986091"/>
    <w:rsid w:val="009948C1"/>
    <w:rsid w:val="009D46B6"/>
    <w:rsid w:val="009E08F9"/>
    <w:rsid w:val="009E0D56"/>
    <w:rsid w:val="009E33F8"/>
    <w:rsid w:val="009F675F"/>
    <w:rsid w:val="00A30AE8"/>
    <w:rsid w:val="00A54F80"/>
    <w:rsid w:val="00A73180"/>
    <w:rsid w:val="00AC00F3"/>
    <w:rsid w:val="00AC5F09"/>
    <w:rsid w:val="00AD5ADC"/>
    <w:rsid w:val="00AE7EED"/>
    <w:rsid w:val="00B35A39"/>
    <w:rsid w:val="00BC2EAD"/>
    <w:rsid w:val="00BD2816"/>
    <w:rsid w:val="00C0648A"/>
    <w:rsid w:val="00C0749C"/>
    <w:rsid w:val="00C23CC5"/>
    <w:rsid w:val="00CA3F3E"/>
    <w:rsid w:val="00CC671B"/>
    <w:rsid w:val="00CD340F"/>
    <w:rsid w:val="00D35F8E"/>
    <w:rsid w:val="00D95CC7"/>
    <w:rsid w:val="00DF70AF"/>
    <w:rsid w:val="00E02152"/>
    <w:rsid w:val="00E90D9F"/>
    <w:rsid w:val="00EA1848"/>
    <w:rsid w:val="00ED488A"/>
    <w:rsid w:val="00EE25C7"/>
    <w:rsid w:val="00EE6A27"/>
    <w:rsid w:val="00EF37A5"/>
    <w:rsid w:val="00F11F93"/>
    <w:rsid w:val="00F31658"/>
    <w:rsid w:val="00F64D57"/>
    <w:rsid w:val="00F85314"/>
    <w:rsid w:val="00FC105C"/>
    <w:rsid w:val="00FD0C22"/>
    <w:rsid w:val="00FE05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C4650"/>
  <w15:chartTrackingRefBased/>
  <w15:docId w15:val="{4BE7D571-921D-4D37-829B-C63AB8C7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9FD"/>
    <w:pPr>
      <w:spacing w:line="480" w:lineRule="auto"/>
      <w:ind w:firstLine="720"/>
    </w:pPr>
    <w:rPr>
      <w:rFonts w:ascii="Verdana" w:hAnsi="Verdana"/>
      <w:sz w:val="24"/>
      <w:szCs w:val="24"/>
    </w:rPr>
  </w:style>
  <w:style w:type="paragraph" w:styleId="Heading1">
    <w:name w:val="heading 1"/>
    <w:basedOn w:val="Heading3"/>
    <w:next w:val="Normal"/>
    <w:link w:val="Heading1Char"/>
    <w:autoRedefine/>
    <w:uiPriority w:val="9"/>
    <w:qFormat/>
    <w:rsid w:val="00703295"/>
    <w:pPr>
      <w:ind w:firstLine="0"/>
      <w:outlineLvl w:val="0"/>
    </w:pPr>
    <w:rPr>
      <w:sz w:val="36"/>
      <w:szCs w:val="36"/>
    </w:rPr>
  </w:style>
  <w:style w:type="paragraph" w:styleId="Heading2">
    <w:name w:val="heading 2"/>
    <w:basedOn w:val="Normal"/>
    <w:next w:val="Normal"/>
    <w:link w:val="Heading2Char"/>
    <w:uiPriority w:val="9"/>
    <w:unhideWhenUsed/>
    <w:qFormat/>
    <w:rsid w:val="002D4FE0"/>
    <w:pPr>
      <w:keepNext/>
      <w:keepLines/>
      <w:spacing w:before="160" w:after="80"/>
      <w:ind w:firstLine="0"/>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0103D6"/>
    <w:pPr>
      <w:keepNext/>
      <w:keepLines/>
      <w:spacing w:before="160" w:after="80"/>
      <w:outlineLvl w:val="2"/>
    </w:pPr>
    <w:rPr>
      <w:rFonts w:eastAsiaTheme="majorEastAsia" w:cstheme="majorBidi"/>
      <w:b/>
      <w:bCs/>
      <w:i/>
      <w:iCs/>
      <w:sz w:val="28"/>
      <w:szCs w:val="28"/>
    </w:rPr>
  </w:style>
  <w:style w:type="paragraph" w:styleId="Heading4">
    <w:name w:val="heading 4"/>
    <w:basedOn w:val="Normal"/>
    <w:next w:val="Normal"/>
    <w:link w:val="Heading4Char"/>
    <w:uiPriority w:val="9"/>
    <w:unhideWhenUsed/>
    <w:qFormat/>
    <w:rsid w:val="00943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43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43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95"/>
    <w:rPr>
      <w:rFonts w:ascii="Verdana" w:eastAsiaTheme="majorEastAsia" w:hAnsi="Verdana" w:cstheme="majorBidi"/>
      <w:b/>
      <w:bCs/>
      <w:i/>
      <w:iCs/>
      <w:sz w:val="36"/>
      <w:szCs w:val="36"/>
    </w:rPr>
  </w:style>
  <w:style w:type="character" w:customStyle="1" w:styleId="Heading2Char">
    <w:name w:val="Heading 2 Char"/>
    <w:basedOn w:val="DefaultParagraphFont"/>
    <w:link w:val="Heading2"/>
    <w:uiPriority w:val="9"/>
    <w:rsid w:val="002D4FE0"/>
    <w:rPr>
      <w:rFonts w:ascii="Verdana" w:eastAsiaTheme="majorEastAsia" w:hAnsi="Verdana" w:cstheme="majorBidi"/>
      <w:b/>
      <w:bCs/>
      <w:sz w:val="32"/>
      <w:szCs w:val="32"/>
    </w:rPr>
  </w:style>
  <w:style w:type="character" w:customStyle="1" w:styleId="Heading3Char">
    <w:name w:val="Heading 3 Char"/>
    <w:basedOn w:val="DefaultParagraphFont"/>
    <w:link w:val="Heading3"/>
    <w:uiPriority w:val="9"/>
    <w:rsid w:val="000103D6"/>
    <w:rPr>
      <w:rFonts w:ascii="Verdana" w:eastAsiaTheme="majorEastAsia" w:hAnsi="Verdana" w:cstheme="majorBidi"/>
      <w:b/>
      <w:bCs/>
      <w:i/>
      <w:iCs/>
      <w:sz w:val="28"/>
      <w:szCs w:val="28"/>
    </w:rPr>
  </w:style>
  <w:style w:type="character" w:customStyle="1" w:styleId="Heading4Char">
    <w:name w:val="Heading 4 Char"/>
    <w:basedOn w:val="DefaultParagraphFont"/>
    <w:link w:val="Heading4"/>
    <w:uiPriority w:val="9"/>
    <w:rsid w:val="00943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787"/>
    <w:rPr>
      <w:rFonts w:eastAsiaTheme="majorEastAsia" w:cstheme="majorBidi"/>
      <w:color w:val="272727" w:themeColor="text1" w:themeTint="D8"/>
    </w:rPr>
  </w:style>
  <w:style w:type="paragraph" w:styleId="Title">
    <w:name w:val="Title"/>
    <w:basedOn w:val="Normal"/>
    <w:next w:val="Normal"/>
    <w:link w:val="TitleChar"/>
    <w:uiPriority w:val="10"/>
    <w:qFormat/>
    <w:rsid w:val="0094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787"/>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787"/>
    <w:pPr>
      <w:spacing w:before="160"/>
      <w:jc w:val="center"/>
    </w:pPr>
    <w:rPr>
      <w:i/>
      <w:iCs/>
      <w:color w:val="404040" w:themeColor="text1" w:themeTint="BF"/>
    </w:rPr>
  </w:style>
  <w:style w:type="character" w:customStyle="1" w:styleId="QuoteChar">
    <w:name w:val="Quote Char"/>
    <w:basedOn w:val="DefaultParagraphFont"/>
    <w:link w:val="Quote"/>
    <w:uiPriority w:val="29"/>
    <w:rsid w:val="00943787"/>
    <w:rPr>
      <w:i/>
      <w:iCs/>
      <w:color w:val="404040" w:themeColor="text1" w:themeTint="BF"/>
    </w:rPr>
  </w:style>
  <w:style w:type="paragraph" w:styleId="ListParagraph">
    <w:name w:val="List Paragraph"/>
    <w:basedOn w:val="Normal"/>
    <w:uiPriority w:val="34"/>
    <w:qFormat/>
    <w:rsid w:val="00943787"/>
    <w:pPr>
      <w:ind w:left="720"/>
      <w:contextualSpacing/>
    </w:pPr>
  </w:style>
  <w:style w:type="character" w:styleId="IntenseEmphasis">
    <w:name w:val="Intense Emphasis"/>
    <w:basedOn w:val="DefaultParagraphFont"/>
    <w:uiPriority w:val="21"/>
    <w:qFormat/>
    <w:rsid w:val="00943787"/>
    <w:rPr>
      <w:i/>
      <w:iCs/>
      <w:color w:val="0F4761" w:themeColor="accent1" w:themeShade="BF"/>
    </w:rPr>
  </w:style>
  <w:style w:type="paragraph" w:styleId="IntenseQuote">
    <w:name w:val="Intense Quote"/>
    <w:basedOn w:val="Normal"/>
    <w:next w:val="Normal"/>
    <w:link w:val="IntenseQuoteChar"/>
    <w:uiPriority w:val="30"/>
    <w:qFormat/>
    <w:rsid w:val="00943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787"/>
    <w:rPr>
      <w:i/>
      <w:iCs/>
      <w:color w:val="0F4761" w:themeColor="accent1" w:themeShade="BF"/>
    </w:rPr>
  </w:style>
  <w:style w:type="character" w:styleId="IntenseReference">
    <w:name w:val="Intense Reference"/>
    <w:basedOn w:val="DefaultParagraphFont"/>
    <w:uiPriority w:val="32"/>
    <w:qFormat/>
    <w:rsid w:val="00943787"/>
    <w:rPr>
      <w:b/>
      <w:bCs/>
      <w:smallCaps/>
      <w:color w:val="0F4761" w:themeColor="accent1" w:themeShade="BF"/>
      <w:spacing w:val="5"/>
    </w:rPr>
  </w:style>
  <w:style w:type="paragraph" w:customStyle="1" w:styleId="APAReferenceList">
    <w:name w:val="APA Reference List"/>
    <w:basedOn w:val="Normal"/>
    <w:link w:val="APAReferenceListChar"/>
    <w:autoRedefine/>
    <w:qFormat/>
    <w:rsid w:val="00943787"/>
    <w:pPr>
      <w:tabs>
        <w:tab w:val="left" w:pos="270"/>
      </w:tabs>
      <w:spacing w:after="0"/>
      <w:ind w:left="720" w:hanging="720"/>
    </w:pPr>
    <w:rPr>
      <w:rFonts w:eastAsia="Times New Roman" w:cs="Segoe UI"/>
      <w:kern w:val="0"/>
      <w:szCs w:val="21"/>
      <w:lang w:eastAsia="en-CA"/>
      <w14:ligatures w14:val="none"/>
    </w:rPr>
  </w:style>
  <w:style w:type="character" w:customStyle="1" w:styleId="APAReferenceListChar">
    <w:name w:val="APA Reference List Char"/>
    <w:basedOn w:val="DefaultParagraphFont"/>
    <w:link w:val="APAReferenceList"/>
    <w:rsid w:val="00943787"/>
    <w:rPr>
      <w:rFonts w:ascii="Verdana" w:eastAsia="Times New Roman" w:hAnsi="Verdana" w:cs="Segoe UI"/>
      <w:kern w:val="0"/>
      <w:sz w:val="24"/>
      <w:szCs w:val="21"/>
      <w:lang w:eastAsia="en-CA"/>
      <w14:ligatures w14:val="none"/>
    </w:rPr>
  </w:style>
  <w:style w:type="paragraph" w:styleId="Header">
    <w:name w:val="header"/>
    <w:basedOn w:val="Normal"/>
    <w:link w:val="HeaderChar"/>
    <w:uiPriority w:val="99"/>
    <w:unhideWhenUsed/>
    <w:rsid w:val="00102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10D"/>
    <w:rPr>
      <w:rFonts w:ascii="Verdana" w:hAnsi="Verdana"/>
      <w:sz w:val="24"/>
      <w:szCs w:val="24"/>
    </w:rPr>
  </w:style>
  <w:style w:type="paragraph" w:styleId="Footer">
    <w:name w:val="footer"/>
    <w:basedOn w:val="Normal"/>
    <w:link w:val="FooterChar"/>
    <w:uiPriority w:val="99"/>
    <w:unhideWhenUsed/>
    <w:rsid w:val="0010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10D"/>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9F532-5403-45A0-BA1D-08F4B799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1748</Words>
  <Characters>9983</Characters>
  <Application>Microsoft Office Word</Application>
  <DocSecurity>8</DocSecurity>
  <Lines>221</Lines>
  <Paragraphs>128</Paragraphs>
  <ScaleCrop>false</ScaleCrop>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Knot</dc:creator>
  <cp:keywords/>
  <dc:description/>
  <cp:lastModifiedBy>Michaela Knot</cp:lastModifiedBy>
  <cp:revision>2</cp:revision>
  <dcterms:created xsi:type="dcterms:W3CDTF">2026-03-31T21:08:00Z</dcterms:created>
  <dcterms:modified xsi:type="dcterms:W3CDTF">2026-03-31T21:08:00Z</dcterms:modified>
</cp:coreProperties>
</file>